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Количество свободных мест</w:t>
      </w:r>
    </w:p>
    <w:p w14:paraId="02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социального обслуживания</w:t>
      </w:r>
      <w:r>
        <w:rPr>
          <w:rFonts w:ascii="Times New Roman" w:hAnsi="Times New Roman"/>
          <w:sz w:val="24"/>
        </w:rPr>
        <w:t xml:space="preserve"> на дому</w:t>
      </w:r>
      <w:r>
        <w:rPr>
          <w:rFonts w:ascii="Times New Roman" w:hAnsi="Times New Roman"/>
          <w:sz w:val="24"/>
        </w:rPr>
        <w:t>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3</w:t>
      </w:r>
      <w:r>
        <w:rPr>
          <w:rFonts w:ascii="Times New Roman" w:hAnsi="Times New Roman"/>
          <w:sz w:val="24"/>
        </w:rPr>
        <w:t>1.12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691"/>
        <w:gridCol w:w="864"/>
        <w:gridCol w:w="2651"/>
      </w:tblGrid>
      <w:tr>
        <w:trPr>
          <w:trHeight w:hRule="atLeast" w:val="320"/>
        </w:trPr>
        <w:tc>
          <w:tcPr>
            <w:tcW w:type="dxa" w:w="669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type="dxa" w:w="3515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669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2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21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2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23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Федерального закона от 28 декабря 2013 года № 442-ФЗ "Об основах социального обслуживания граждан в Российской Федерации";</w:t>
      </w:r>
      <w:r>
        <w:rPr>
          <w:rFonts w:ascii="Times New Roman" w:hAnsi="Times New Roman"/>
          <w:sz w:val="24"/>
        </w:rPr>
        <w:t xml:space="preserve"> </w:t>
      </w:r>
    </w:p>
    <w:p w14:paraId="24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25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26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7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28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29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A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</w:t>
      </w:r>
      <w:r>
        <w:rPr>
          <w:rFonts w:ascii="Times New Roman" w:hAnsi="Times New Roman"/>
          <w:sz w:val="24"/>
        </w:rPr>
        <w:t>с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4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5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 Федерального закона.</w:t>
      </w:r>
    </w:p>
    <w:p w14:paraId="2B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C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sectPr>
      <w:pgSz w:h="16838" w:orient="portrait" w:w="11906"/>
      <w:pgMar w:bottom="284" w:footer="708" w:gutter="0" w:header="708" w:left="1134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Strong"/>
    <w:basedOn w:val="Style_10"/>
    <w:link w:val="Style_14_ch"/>
    <w:rPr>
      <w:b w:val="1"/>
    </w:rPr>
  </w:style>
  <w:style w:styleId="Style_14_ch" w:type="character">
    <w:name w:val="Strong"/>
    <w:basedOn w:val="Style_10_ch"/>
    <w:link w:val="Style_14"/>
    <w:rPr>
      <w:b w:val="1"/>
    </w:rPr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3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3_ch"/>
    <w:link w:val="Style_21"/>
    <w:rPr>
      <w:rFonts w:ascii="Times New Roman" w:hAnsi="Times New Roman"/>
      <w:sz w:val="24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consplusnormal"/>
    <w:basedOn w:val="Style_3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consplusnormal"/>
    <w:basedOn w:val="Style_3_ch"/>
    <w:link w:val="Style_23"/>
    <w:rPr>
      <w:rFonts w:ascii="Times New Roman" w:hAnsi="Times New Roman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2025-12-23T12:58:22Z</dcterms:modified>
</cp:coreProperties>
</file>