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05" w:rsidRDefault="00AD1405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D1405" w:rsidRDefault="00AD1405">
      <w:pPr>
        <w:pStyle w:val="ConsPlusNormal"/>
        <w:jc w:val="both"/>
      </w:pPr>
    </w:p>
    <w:p w:rsidR="00AD1405" w:rsidRDefault="00AD1405">
      <w:pPr>
        <w:pStyle w:val="ConsPlusTitle"/>
        <w:jc w:val="center"/>
      </w:pPr>
      <w:r>
        <w:t>ПРАВИТЕЛЬСТВО ОМСКОЙ ОБЛАСТИ</w:t>
      </w:r>
    </w:p>
    <w:p w:rsidR="00AD1405" w:rsidRDefault="00AD1405">
      <w:pPr>
        <w:pStyle w:val="ConsPlusTitle"/>
        <w:jc w:val="center"/>
      </w:pPr>
    </w:p>
    <w:p w:rsidR="00AD1405" w:rsidRDefault="00AD1405">
      <w:pPr>
        <w:pStyle w:val="ConsPlusTitle"/>
        <w:jc w:val="center"/>
      </w:pPr>
      <w:r>
        <w:t>ПОСТАНОВЛЕНИЕ</w:t>
      </w:r>
    </w:p>
    <w:p w:rsidR="00AD1405" w:rsidRDefault="00AD1405">
      <w:pPr>
        <w:pStyle w:val="ConsPlusTitle"/>
        <w:jc w:val="center"/>
      </w:pPr>
      <w:r>
        <w:t>от 25 января 2012 г. N 3-п</w:t>
      </w:r>
    </w:p>
    <w:p w:rsidR="00AD1405" w:rsidRDefault="00AD1405">
      <w:pPr>
        <w:pStyle w:val="ConsPlusTitle"/>
        <w:jc w:val="center"/>
      </w:pPr>
    </w:p>
    <w:p w:rsidR="00AD1405" w:rsidRDefault="00AD1405">
      <w:pPr>
        <w:pStyle w:val="ConsPlusTitle"/>
        <w:jc w:val="center"/>
      </w:pPr>
      <w:r>
        <w:t>О МЕРАХ ПО РЕАЛИЗАЦИИ СТАТЬИ 23 ФЕДЕРАЛЬНОГО ЗАКОНА</w:t>
      </w:r>
    </w:p>
    <w:p w:rsidR="00AD1405" w:rsidRDefault="00AD1405">
      <w:pPr>
        <w:pStyle w:val="ConsPlusTitle"/>
        <w:jc w:val="center"/>
      </w:pPr>
      <w:r>
        <w:t xml:space="preserve">"ОБ ОРГАНИЗАЦИИ ПРЕДОСТАВЛЕНИЯ </w:t>
      </w:r>
      <w:proofErr w:type="gramStart"/>
      <w:r>
        <w:t>ГОСУДАРСТВЕННЫХ</w:t>
      </w:r>
      <w:proofErr w:type="gramEnd"/>
    </w:p>
    <w:p w:rsidR="00AD1405" w:rsidRDefault="00AD1405" w:rsidP="00AD1405">
      <w:pPr>
        <w:pStyle w:val="ConsPlusTitle"/>
        <w:tabs>
          <w:tab w:val="left" w:pos="8931"/>
        </w:tabs>
        <w:jc w:val="center"/>
      </w:pPr>
      <w:r>
        <w:t>И МУНИЦИПАЛЬНЫХ УСЛУГ"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частью 14 статьи 23</w:t>
        </w:r>
      </w:hyperlink>
      <w:r>
        <w:t xml:space="preserve"> Федерального закона "Об организации предоставления государственных и муниципальных услуг", Правительство Омской области постановляет:</w:t>
      </w:r>
    </w:p>
    <w:p w:rsidR="00AD1405" w:rsidRDefault="00AD1405">
      <w:pPr>
        <w:pStyle w:val="ConsPlusNormal"/>
        <w:ind w:firstLine="540"/>
        <w:jc w:val="both"/>
      </w:pPr>
      <w:r>
        <w:t>Утвердить:</w:t>
      </w:r>
    </w:p>
    <w:p w:rsidR="00AD1405" w:rsidRDefault="00AD1405">
      <w:pPr>
        <w:pStyle w:val="ConsPlusNormal"/>
        <w:ind w:firstLine="540"/>
        <w:jc w:val="both"/>
      </w:pPr>
      <w:r>
        <w:t xml:space="preserve">1)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разработки, подключения и функционирования региональных и муниципальных электронных приложений универсально</w:t>
      </w:r>
      <w:bookmarkStart w:id="0" w:name="_GoBack"/>
      <w:bookmarkEnd w:id="0"/>
      <w:r>
        <w:t>й электронной карты, обеспечивающих авторизованный доступ к получению государственных, муниципальных и иных услуг, согласно приложению N 1 к настоящему постановлению;</w:t>
      </w:r>
    </w:p>
    <w:p w:rsidR="00AD1405" w:rsidRDefault="00AD1405">
      <w:pPr>
        <w:pStyle w:val="ConsPlusNormal"/>
        <w:ind w:firstLine="540"/>
        <w:jc w:val="both"/>
      </w:pPr>
      <w:r>
        <w:t xml:space="preserve">2) технические </w:t>
      </w:r>
      <w:hyperlink w:anchor="P67" w:history="1">
        <w:r>
          <w:rPr>
            <w:color w:val="0000FF"/>
          </w:rPr>
          <w:t>требования</w:t>
        </w:r>
      </w:hyperlink>
      <w:r>
        <w:t xml:space="preserve"> к региональным и муниципальным электронным приложениям универсальной электронной карты, обеспечивающим авторизованный доступ к получению гос</w:t>
      </w:r>
      <w:r>
        <w:t>у</w:t>
      </w:r>
      <w:r>
        <w:t>дарственных, муниципальных и иных услуг, согласно приложению N 2 к настоящему постановл</w:t>
      </w:r>
      <w:r>
        <w:t>е</w:t>
      </w:r>
      <w:r>
        <w:t>нию.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jc w:val="right"/>
      </w:pPr>
      <w:r>
        <w:t>Первый заместитель</w:t>
      </w:r>
    </w:p>
    <w:p w:rsidR="00AD1405" w:rsidRDefault="00AD1405">
      <w:pPr>
        <w:pStyle w:val="ConsPlusNormal"/>
        <w:jc w:val="right"/>
      </w:pPr>
      <w:r>
        <w:t>Председателя Правительства</w:t>
      </w:r>
    </w:p>
    <w:p w:rsidR="00AD1405" w:rsidRDefault="00AD1405">
      <w:pPr>
        <w:pStyle w:val="ConsPlusNormal"/>
        <w:jc w:val="right"/>
      </w:pPr>
      <w:r>
        <w:t>Омской области</w:t>
      </w:r>
    </w:p>
    <w:p w:rsidR="00AD1405" w:rsidRDefault="00AD1405">
      <w:pPr>
        <w:pStyle w:val="ConsPlusNormal"/>
        <w:jc w:val="right"/>
      </w:pPr>
      <w:r>
        <w:t>А.В.БЕСШТАНЬКО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jc w:val="right"/>
      </w:pPr>
      <w:r>
        <w:t>Приложение N 1</w:t>
      </w:r>
    </w:p>
    <w:p w:rsidR="00AD1405" w:rsidRDefault="00AD1405">
      <w:pPr>
        <w:pStyle w:val="ConsPlusNormal"/>
        <w:jc w:val="right"/>
      </w:pPr>
      <w:r>
        <w:t>к постановлению Правительства Омской области</w:t>
      </w:r>
    </w:p>
    <w:p w:rsidR="00AD1405" w:rsidRDefault="00AD1405">
      <w:pPr>
        <w:pStyle w:val="ConsPlusNormal"/>
        <w:jc w:val="right"/>
      </w:pPr>
      <w:r>
        <w:t>от 25 января 2012 г. N 3-п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Title"/>
        <w:jc w:val="center"/>
      </w:pPr>
      <w:bookmarkStart w:id="1" w:name="P28"/>
      <w:bookmarkEnd w:id="1"/>
      <w:r>
        <w:t>ПРАВИЛА</w:t>
      </w:r>
    </w:p>
    <w:p w:rsidR="00AD1405" w:rsidRDefault="00AD1405">
      <w:pPr>
        <w:pStyle w:val="ConsPlusTitle"/>
        <w:jc w:val="center"/>
      </w:pPr>
      <w:r>
        <w:t xml:space="preserve">разработки, подключения и функционирования </w:t>
      </w:r>
      <w:proofErr w:type="gramStart"/>
      <w:r>
        <w:t>региональных</w:t>
      </w:r>
      <w:proofErr w:type="gramEnd"/>
      <w:r>
        <w:t xml:space="preserve"> и</w:t>
      </w:r>
    </w:p>
    <w:p w:rsidR="00AD1405" w:rsidRDefault="00AD1405">
      <w:pPr>
        <w:pStyle w:val="ConsPlusTitle"/>
        <w:jc w:val="center"/>
      </w:pPr>
      <w:r>
        <w:t xml:space="preserve">муниципальных электронных приложений </w:t>
      </w:r>
      <w:proofErr w:type="gramStart"/>
      <w:r>
        <w:t>универсальной</w:t>
      </w:r>
      <w:proofErr w:type="gramEnd"/>
    </w:p>
    <w:p w:rsidR="00AD1405" w:rsidRDefault="00AD1405">
      <w:pPr>
        <w:pStyle w:val="ConsPlusTitle"/>
        <w:jc w:val="center"/>
      </w:pPr>
      <w:r>
        <w:t xml:space="preserve">электронной карты, </w:t>
      </w:r>
      <w:proofErr w:type="gramStart"/>
      <w:r>
        <w:t>обеспечивающих</w:t>
      </w:r>
      <w:proofErr w:type="gramEnd"/>
      <w:r>
        <w:t xml:space="preserve"> авторизованный</w:t>
      </w:r>
    </w:p>
    <w:p w:rsidR="00AD1405" w:rsidRDefault="00AD1405">
      <w:pPr>
        <w:pStyle w:val="ConsPlusTitle"/>
        <w:jc w:val="center"/>
      </w:pPr>
      <w:r>
        <w:t xml:space="preserve">доступ к получению </w:t>
      </w:r>
      <w:proofErr w:type="gramStart"/>
      <w:r>
        <w:t>государственных</w:t>
      </w:r>
      <w:proofErr w:type="gramEnd"/>
      <w:r>
        <w:t>,</w:t>
      </w:r>
    </w:p>
    <w:p w:rsidR="00AD1405" w:rsidRDefault="00AD1405">
      <w:pPr>
        <w:pStyle w:val="ConsPlusTitle"/>
        <w:jc w:val="center"/>
      </w:pPr>
      <w:r>
        <w:t>муниципальных и иных услуг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  <w:r>
        <w:t>1. Настоящие Правила регулируют отношения, связанные с разработкой, подключением и функционированием региональных и муниципальных электронных приложений универсальной электронной карты (далее - карта), обеспечивающих авторизованный доступ к получению государственных, муниципальных и иных услуг в электронном виде (далее - электронные прилож</w:t>
      </w:r>
      <w:r>
        <w:t>е</w:t>
      </w:r>
      <w:r>
        <w:t>ния, услуги соответственно), и распространяются на случаи, когда услуги предоставляются с и</w:t>
      </w:r>
      <w:r>
        <w:t>с</w:t>
      </w:r>
      <w:r>
        <w:t>пользованием электронных приложений.</w:t>
      </w:r>
    </w:p>
    <w:p w:rsidR="00AD1405" w:rsidRDefault="00AD1405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исполнительной власти Омской области, органы местного самоуправления Омской области или организации, имеющие намерение предоставлять с использованием электро</w:t>
      </w:r>
      <w:r>
        <w:t>н</w:t>
      </w:r>
      <w:r>
        <w:t>ного приложения услуги, которые ранее не предоставлялись либо предоставлялись без примен</w:t>
      </w:r>
      <w:r>
        <w:t>е</w:t>
      </w:r>
      <w:r>
        <w:t xml:space="preserve">ния такого электронного приложения (далее - эмитент), направляют в Министерство </w:t>
      </w:r>
      <w:r>
        <w:lastRenderedPageBreak/>
        <w:t>труда и соц</w:t>
      </w:r>
      <w:r>
        <w:t>и</w:t>
      </w:r>
      <w:r>
        <w:t>ального развития Омской области (далее - Министерство) заявление об использовании электро</w:t>
      </w:r>
      <w:r>
        <w:t>н</w:t>
      </w:r>
      <w:r>
        <w:t>ных приложений путем их размещения на карте (далее - заявление) по форме, утвержденной М</w:t>
      </w:r>
      <w:r>
        <w:t>и</w:t>
      </w:r>
      <w:r>
        <w:t>нистерством.</w:t>
      </w:r>
      <w:proofErr w:type="gramEnd"/>
    </w:p>
    <w:p w:rsidR="00AD1405" w:rsidRDefault="00AD1405">
      <w:pPr>
        <w:pStyle w:val="ConsPlusNormal"/>
        <w:ind w:firstLine="540"/>
        <w:jc w:val="both"/>
      </w:pPr>
      <w:bookmarkStart w:id="2" w:name="P37"/>
      <w:bookmarkEnd w:id="2"/>
      <w:r>
        <w:t>3. К заявлению прилагаются следующие документы:</w:t>
      </w:r>
    </w:p>
    <w:p w:rsidR="00AD1405" w:rsidRDefault="00AD1405">
      <w:pPr>
        <w:pStyle w:val="ConsPlusNormal"/>
        <w:ind w:firstLine="540"/>
        <w:jc w:val="both"/>
      </w:pPr>
      <w:r>
        <w:t>1) описание услуги, которую предполагается предоставлять с использованием электронного приложения;</w:t>
      </w:r>
    </w:p>
    <w:p w:rsidR="00AD1405" w:rsidRDefault="00AD1405">
      <w:pPr>
        <w:pStyle w:val="ConsPlusNormal"/>
        <w:ind w:firstLine="540"/>
        <w:jc w:val="both"/>
      </w:pPr>
      <w:r>
        <w:t>2) обоснование необходимости подключения электронных приложений в целях обеспеч</w:t>
      </w:r>
      <w:r>
        <w:t>е</w:t>
      </w:r>
      <w:r>
        <w:t>ния предоставления услуги с использованием карты;</w:t>
      </w:r>
    </w:p>
    <w:p w:rsidR="00AD1405" w:rsidRDefault="00AD1405">
      <w:pPr>
        <w:pStyle w:val="ConsPlusNormal"/>
        <w:ind w:firstLine="540"/>
        <w:jc w:val="both"/>
      </w:pPr>
      <w:r>
        <w:t>3) обоснование невозможности обеспечения предоставления услуги с использованием ф</w:t>
      </w:r>
      <w:r>
        <w:t>е</w:t>
      </w:r>
      <w:r>
        <w:t>дерального электронного идентификационного приложения карты;</w:t>
      </w:r>
    </w:p>
    <w:p w:rsidR="00AD1405" w:rsidRDefault="00AD1405">
      <w:pPr>
        <w:pStyle w:val="ConsPlusNormal"/>
        <w:ind w:firstLine="540"/>
        <w:jc w:val="both"/>
      </w:pPr>
      <w:r>
        <w:t>4) перечень сведений, предлагаемых для размещения в электронном приложении, и опис</w:t>
      </w:r>
      <w:r>
        <w:t>а</w:t>
      </w:r>
      <w:r>
        <w:t>ние процессов (операций), которые планируется осуществлять в рамках предоставления услуги, в том числе с использованием указанных сведений.</w:t>
      </w:r>
    </w:p>
    <w:p w:rsidR="00AD1405" w:rsidRDefault="00AD1405">
      <w:pPr>
        <w:pStyle w:val="ConsPlusNormal"/>
        <w:ind w:firstLine="540"/>
        <w:jc w:val="both"/>
      </w:pPr>
      <w:r>
        <w:t>4. Решение об использовании электронных приложений путем их размещения на карте пр</w:t>
      </w:r>
      <w:r>
        <w:t>и</w:t>
      </w:r>
      <w:r>
        <w:t xml:space="preserve">нимает комиссия, созданная Министерством (далее - комиссия), не позднее 30 календарных дней со дня поступления в Министерство заявления и документов, указанных в </w:t>
      </w:r>
      <w:hyperlink w:anchor="P37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AD1405" w:rsidRDefault="00AD1405">
      <w:pPr>
        <w:pStyle w:val="ConsPlusNormal"/>
        <w:ind w:firstLine="540"/>
        <w:jc w:val="both"/>
      </w:pPr>
      <w:r>
        <w:t>В случае установления факта дублирования функций и (или) состава данных федерального электронного идентификационного приложения карты и возможности оказания услуг посре</w:t>
      </w:r>
      <w:r>
        <w:t>д</w:t>
      </w:r>
      <w:r>
        <w:t>ством федерального электронного идентификационного приложения карты принимается реш</w:t>
      </w:r>
      <w:r>
        <w:t>е</w:t>
      </w:r>
      <w:r>
        <w:t>ние об отказе в использовании электронных приложений путем их размещения на карте.</w:t>
      </w:r>
    </w:p>
    <w:p w:rsidR="00AD1405" w:rsidRDefault="00AD1405">
      <w:pPr>
        <w:pStyle w:val="ConsPlusNormal"/>
        <w:ind w:firstLine="540"/>
        <w:jc w:val="both"/>
      </w:pPr>
      <w:r>
        <w:t>Решения комиссии оформляются протоколом заседания комиссии в срок, не превышающий 10 календарных дней со дня их принятия, размещаются на официальном сайте Министерства в информационно-телекоммуникационной сети "Интернет", о чем в указанный срок уведомляется эмитент.</w:t>
      </w:r>
    </w:p>
    <w:p w:rsidR="00AD1405" w:rsidRDefault="00AD1405">
      <w:pPr>
        <w:pStyle w:val="ConsPlusNormal"/>
        <w:ind w:firstLine="540"/>
        <w:jc w:val="both"/>
      </w:pPr>
      <w:proofErr w:type="gramStart"/>
      <w:r>
        <w:t>В течение 20 календарных дней со дня принятия решения об использовании электронных приложений путем их размещения на карте Министерство уведомляет об этом Министерство экономического развития Российской Федерации, Министерство связи и массовых коммуникаций Российской Федерации, Федеральную службу безопасности Российской Федерации и открытое акционерное общество "Универсальная электронная карта" (далее - федеральная уполномоче</w:t>
      </w:r>
      <w:r>
        <w:t>н</w:t>
      </w:r>
      <w:r>
        <w:t>ная организация) путем направления соответствующей копии протокола заседания комиссии с приложением копий</w:t>
      </w:r>
      <w:proofErr w:type="gramEnd"/>
      <w:r>
        <w:t xml:space="preserve"> документов, указанных в </w:t>
      </w:r>
      <w:hyperlink w:anchor="P37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AD1405" w:rsidRDefault="00AD1405">
      <w:pPr>
        <w:pStyle w:val="ConsPlusNormal"/>
        <w:ind w:firstLine="540"/>
        <w:jc w:val="both"/>
      </w:pPr>
      <w:r>
        <w:t>5. Порядок деятельности комисс</w:t>
      </w:r>
      <w:proofErr w:type="gramStart"/>
      <w:r>
        <w:t>ии и ее</w:t>
      </w:r>
      <w:proofErr w:type="gramEnd"/>
      <w:r>
        <w:t xml:space="preserve"> состав утверждаются Министерством.</w:t>
      </w:r>
    </w:p>
    <w:p w:rsidR="00AD1405" w:rsidRDefault="00AD1405">
      <w:pPr>
        <w:pStyle w:val="ConsPlusNormal"/>
        <w:ind w:firstLine="540"/>
        <w:jc w:val="both"/>
      </w:pPr>
      <w:bookmarkStart w:id="3" w:name="P47"/>
      <w:bookmarkEnd w:id="3"/>
      <w:r>
        <w:t>6. Эмитент после получения им решения комиссии об использовании электронных прил</w:t>
      </w:r>
      <w:r>
        <w:t>о</w:t>
      </w:r>
      <w:r>
        <w:t>жений путем их размещения на карте осуществляет подготовку спецификации на разработку эле</w:t>
      </w:r>
      <w:r>
        <w:t>к</w:t>
      </w:r>
      <w:r>
        <w:t>тронного приложения и направляет ее на согласование в Министерство связи и массовых комм</w:t>
      </w:r>
      <w:r>
        <w:t>у</w:t>
      </w:r>
      <w:r>
        <w:t>никаций Российской Федерации, Федеральную службу безопасности Российской Федерации и федеральную уполномоченную организацию.</w:t>
      </w:r>
    </w:p>
    <w:p w:rsidR="00AD1405" w:rsidRDefault="00AD1405">
      <w:pPr>
        <w:pStyle w:val="ConsPlusNormal"/>
        <w:ind w:firstLine="540"/>
        <w:jc w:val="both"/>
      </w:pPr>
      <w:r>
        <w:t xml:space="preserve">7. Спецификация, согласованная в соответствии с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настоящего Порядка, и разраб</w:t>
      </w:r>
      <w:r>
        <w:t>о</w:t>
      </w:r>
      <w:r>
        <w:t>танное на ее основе электронное приложение направляются на согласование в федеральную уполномоченную организацию.</w:t>
      </w:r>
    </w:p>
    <w:p w:rsidR="00AD1405" w:rsidRDefault="00AD1405">
      <w:pPr>
        <w:pStyle w:val="ConsPlusNormal"/>
        <w:ind w:firstLine="540"/>
        <w:jc w:val="both"/>
      </w:pPr>
      <w:bookmarkStart w:id="4" w:name="P49"/>
      <w:bookmarkEnd w:id="4"/>
      <w:r>
        <w:t>8. В случае согласования электронного приложения федеральной уполномоченной орган</w:t>
      </w:r>
      <w:r>
        <w:t>и</w:t>
      </w:r>
      <w:r>
        <w:t>зацией эмитент представляет в Министерство документ, подтверждающий согласование.</w:t>
      </w:r>
    </w:p>
    <w:p w:rsidR="00AD1405" w:rsidRDefault="00AD1405">
      <w:pPr>
        <w:pStyle w:val="ConsPlusNormal"/>
        <w:ind w:firstLine="540"/>
        <w:jc w:val="both"/>
      </w:pPr>
      <w:r>
        <w:t xml:space="preserve">В течение 30 календарных дней после получения документа, предусмотренного </w:t>
      </w:r>
      <w:hyperlink w:anchor="P49" w:history="1">
        <w:r>
          <w:rPr>
            <w:color w:val="0000FF"/>
          </w:rPr>
          <w:t>абзацем первым</w:t>
        </w:r>
      </w:hyperlink>
      <w:r>
        <w:t xml:space="preserve"> настоящего пункта, Министерство осуществляет подготовку проекта правового акта Правительства Омской области, предусматривающего включение электронного приложения в пер</w:t>
      </w:r>
      <w:r>
        <w:t>е</w:t>
      </w:r>
      <w:r>
        <w:t>чень электронных приложений.</w:t>
      </w:r>
    </w:p>
    <w:p w:rsidR="00AD1405" w:rsidRDefault="00AD1405">
      <w:pPr>
        <w:pStyle w:val="ConsPlusNormal"/>
        <w:ind w:firstLine="540"/>
        <w:jc w:val="both"/>
      </w:pPr>
      <w:r>
        <w:t>9. Подключение электронных приложений к карте осуществляется уполномоченной орган</w:t>
      </w:r>
      <w:r>
        <w:t>и</w:t>
      </w:r>
      <w:r>
        <w:t>зацией Омской области, осуществляющей деятельность по организации предоставления госуда</w:t>
      </w:r>
      <w:r>
        <w:t>р</w:t>
      </w:r>
      <w:r>
        <w:t>ственных и муниципальных услуг с использованием карты (далее - уполномоченная организация Омской области).</w:t>
      </w:r>
    </w:p>
    <w:p w:rsidR="00AD1405" w:rsidRDefault="00AD1405">
      <w:pPr>
        <w:pStyle w:val="ConsPlusNormal"/>
        <w:ind w:firstLine="540"/>
        <w:jc w:val="both"/>
      </w:pPr>
      <w:r>
        <w:t>10. Если подключение электронного приложения совпадает с выпуском новой карты, такое подключение осуществляется на основании соглашения, заключаемого уполномоченной орган</w:t>
      </w:r>
      <w:r>
        <w:t>и</w:t>
      </w:r>
      <w:r>
        <w:t xml:space="preserve">зацией Омской области с эмитентом, в котором отражаются порядок функционирования </w:t>
      </w:r>
      <w:r>
        <w:lastRenderedPageBreak/>
        <w:t>эле</w:t>
      </w:r>
      <w:r>
        <w:t>к</w:t>
      </w:r>
      <w:r>
        <w:t>тронного приложения и ответственность сторон соглашения.</w:t>
      </w:r>
    </w:p>
    <w:p w:rsidR="00AD1405" w:rsidRDefault="00AD1405">
      <w:pPr>
        <w:pStyle w:val="ConsPlusNormal"/>
        <w:ind w:firstLine="540"/>
        <w:jc w:val="both"/>
      </w:pPr>
      <w:r>
        <w:t>11. Если подключение электронного приложения осуществляется к ранее выпущенной и действующей карте, такое подключение обеспечивает уполномоченная организация Омской области при взаимодействии с эмитентом и федеральной уполномоченной организацией в соотве</w:t>
      </w:r>
      <w:r>
        <w:t>т</w:t>
      </w:r>
      <w:r>
        <w:t>ствии с правилами осуществления удаленной записи информации на карту.</w:t>
      </w:r>
    </w:p>
    <w:p w:rsidR="00AD1405" w:rsidRDefault="00AD1405">
      <w:pPr>
        <w:pStyle w:val="ConsPlusNormal"/>
        <w:ind w:firstLine="540"/>
        <w:jc w:val="both"/>
      </w:pPr>
      <w:r>
        <w:t>12. Изменение сведений, содержащихся в областях данных электронных приложений, ос</w:t>
      </w:r>
      <w:r>
        <w:t>у</w:t>
      </w:r>
      <w:r>
        <w:t>ществляемое в процессе функционирования указанных электронных приложений, обеспечивает уполномоченная организация Омской области при взаимодействии с эмитентом и федеральной уполномоченной организацией в соответствии с правилами удаленной записи информации на карту.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jc w:val="center"/>
      </w:pPr>
      <w:r>
        <w:t>_______________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jc w:val="right"/>
      </w:pPr>
      <w:r>
        <w:t>Приложение N 2</w:t>
      </w:r>
    </w:p>
    <w:p w:rsidR="00AD1405" w:rsidRDefault="00AD1405">
      <w:pPr>
        <w:pStyle w:val="ConsPlusNormal"/>
        <w:jc w:val="right"/>
      </w:pPr>
      <w:r>
        <w:t>к постановлению Правительства</w:t>
      </w:r>
    </w:p>
    <w:p w:rsidR="00AD1405" w:rsidRDefault="00AD1405">
      <w:pPr>
        <w:pStyle w:val="ConsPlusNormal"/>
        <w:jc w:val="right"/>
      </w:pPr>
      <w:r>
        <w:t>Омской области</w:t>
      </w:r>
    </w:p>
    <w:p w:rsidR="00AD1405" w:rsidRDefault="00AD1405">
      <w:pPr>
        <w:pStyle w:val="ConsPlusNormal"/>
        <w:jc w:val="right"/>
      </w:pPr>
      <w:r>
        <w:t>от 25 января 2012 г. N 3-п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Title"/>
        <w:jc w:val="center"/>
      </w:pPr>
      <w:bookmarkStart w:id="5" w:name="P67"/>
      <w:bookmarkEnd w:id="5"/>
      <w:r>
        <w:t>ТЕХНИЧЕСКИЕ ТРЕБОВАНИЯ</w:t>
      </w:r>
    </w:p>
    <w:p w:rsidR="00AD1405" w:rsidRDefault="00AD1405">
      <w:pPr>
        <w:pStyle w:val="ConsPlusTitle"/>
        <w:jc w:val="center"/>
      </w:pPr>
      <w:r>
        <w:t>к региональным и муниципальным электронным приложениям</w:t>
      </w:r>
    </w:p>
    <w:p w:rsidR="00AD1405" w:rsidRDefault="00AD1405">
      <w:pPr>
        <w:pStyle w:val="ConsPlusTitle"/>
        <w:jc w:val="center"/>
      </w:pPr>
      <w:r>
        <w:t xml:space="preserve">универсальной электронной карты, </w:t>
      </w:r>
      <w:proofErr w:type="gramStart"/>
      <w:r>
        <w:t>обеспечивающим</w:t>
      </w:r>
      <w:proofErr w:type="gramEnd"/>
    </w:p>
    <w:p w:rsidR="00AD1405" w:rsidRDefault="00AD1405">
      <w:pPr>
        <w:pStyle w:val="ConsPlusTitle"/>
        <w:jc w:val="center"/>
      </w:pPr>
      <w:r>
        <w:t>авторизованный доступ к получению</w:t>
      </w:r>
    </w:p>
    <w:p w:rsidR="00AD1405" w:rsidRDefault="00AD1405">
      <w:pPr>
        <w:pStyle w:val="ConsPlusTitle"/>
        <w:jc w:val="center"/>
      </w:pPr>
      <w:r>
        <w:t>государственных, муниципальных и иных услуг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  <w:r>
        <w:t>1. Настоящие технические требования применяются в отношении региональных и муниц</w:t>
      </w:r>
      <w:r>
        <w:t>и</w:t>
      </w:r>
      <w:r>
        <w:t>пальных электронных приложений универсальной электронной карты, обеспечивающих автор</w:t>
      </w:r>
      <w:r>
        <w:t>и</w:t>
      </w:r>
      <w:r>
        <w:t>зованный доступ пользователя такой карты к получению государственных, муниципальных и иных услуг (далее - электронные приложения).</w:t>
      </w:r>
    </w:p>
    <w:p w:rsidR="00AD1405" w:rsidRDefault="00AD1405">
      <w:pPr>
        <w:pStyle w:val="ConsPlusNormal"/>
        <w:ind w:firstLine="540"/>
        <w:jc w:val="both"/>
      </w:pPr>
      <w:r>
        <w:t>2. Электронные приложения не должны снижать уровень безопасности сведений, обеспеч</w:t>
      </w:r>
      <w:r>
        <w:t>и</w:t>
      </w:r>
      <w:r>
        <w:t>ваемый универсальной электронной картой (далее - карта) в отношении других размещенных на ней электронных приложений.</w:t>
      </w:r>
    </w:p>
    <w:p w:rsidR="00AD1405" w:rsidRDefault="00AD1405">
      <w:pPr>
        <w:pStyle w:val="ConsPlusNormal"/>
        <w:ind w:firstLine="540"/>
        <w:jc w:val="both"/>
      </w:pPr>
      <w:r>
        <w:t>3. Электронные приложения должны удовлетворять требованиям:</w:t>
      </w:r>
    </w:p>
    <w:p w:rsidR="00AD1405" w:rsidRDefault="00AD1405">
      <w:pPr>
        <w:pStyle w:val="ConsPlusNormal"/>
        <w:ind w:firstLine="540"/>
        <w:jc w:val="both"/>
      </w:pPr>
      <w:r>
        <w:t xml:space="preserve">- ГОСТа </w:t>
      </w:r>
      <w:proofErr w:type="gramStart"/>
      <w:r>
        <w:t>Р</w:t>
      </w:r>
      <w:proofErr w:type="gramEnd"/>
      <w:r>
        <w:t xml:space="preserve"> ИСО/МЭК 7816-4-2004 "Информационная технология. Карты идентификационные. Карты на интегральных схемах с контактами. Часть 4. Межотраслевые команды для обмена";</w:t>
      </w:r>
    </w:p>
    <w:p w:rsidR="00AD1405" w:rsidRDefault="00AD1405">
      <w:pPr>
        <w:pStyle w:val="ConsPlusNormal"/>
        <w:ind w:firstLine="540"/>
        <w:jc w:val="both"/>
      </w:pPr>
      <w:r>
        <w:t xml:space="preserve">- ГОСТа </w:t>
      </w:r>
      <w:proofErr w:type="gramStart"/>
      <w:r>
        <w:t>Р</w:t>
      </w:r>
      <w:proofErr w:type="gramEnd"/>
      <w:r>
        <w:t xml:space="preserve"> ИСО/МЭК 7816-6-2003 "Карты идентификационные. Карты на интегральных схемах с контактами. Часть 6. Элементы данных для межотраслевого обмена".</w:t>
      </w:r>
    </w:p>
    <w:p w:rsidR="00AD1405" w:rsidRDefault="00AD1405">
      <w:pPr>
        <w:pStyle w:val="ConsPlusNormal"/>
        <w:ind w:firstLine="540"/>
        <w:jc w:val="both"/>
      </w:pPr>
      <w:r>
        <w:t xml:space="preserve">4. </w:t>
      </w:r>
      <w:proofErr w:type="gramStart"/>
      <w:r>
        <w:t>Электронные приложения должны быть разработаны с учетом необходимости обеспеч</w:t>
      </w:r>
      <w:r>
        <w:t>е</w:t>
      </w:r>
      <w:r>
        <w:t>ния возможности перехода (переключения) таких приложений в каждое из состояний жизненного цикла, определяемых международными и используемыми в терминальных сетях банков Росси</w:t>
      </w:r>
      <w:r>
        <w:t>й</w:t>
      </w:r>
      <w:r>
        <w:t>ской Федерации, заключивших договор с федеральной уполномоченной организацией - откр</w:t>
      </w:r>
      <w:r>
        <w:t>ы</w:t>
      </w:r>
      <w:r>
        <w:t>тым акционерным обществом "Универсальная электронная карта" (далее - федеральная уполн</w:t>
      </w:r>
      <w:r>
        <w:t>о</w:t>
      </w:r>
      <w:r>
        <w:t>моченная организация), стандартами для удаленной загрузки, размещения и функционирования электронных приложений на электронных картах с интегральной</w:t>
      </w:r>
      <w:proofErr w:type="gramEnd"/>
      <w:r>
        <w:t xml:space="preserve"> схемой.</w:t>
      </w:r>
    </w:p>
    <w:p w:rsidR="00AD1405" w:rsidRDefault="00AD1405">
      <w:pPr>
        <w:pStyle w:val="ConsPlusNormal"/>
        <w:ind w:firstLine="540"/>
        <w:jc w:val="both"/>
      </w:pPr>
      <w:r>
        <w:t xml:space="preserve">5. </w:t>
      </w:r>
      <w:proofErr w:type="gramStart"/>
      <w:r>
        <w:t>Электронные приложения должны предоставлять возможность исполнения команд пе</w:t>
      </w:r>
      <w:r>
        <w:t>р</w:t>
      </w:r>
      <w:r>
        <w:t>сонализации, соответствующих международным и используемым в терминальных сетях банков Российской Федерации, заключивших договор с федеральной уполномоченной организацией, стандартам процессов персонализации электронных карт на интегральных схемах, в том числе посредством удаленной загрузки электронных приложений.</w:t>
      </w:r>
      <w:proofErr w:type="gramEnd"/>
    </w:p>
    <w:p w:rsidR="00AD1405" w:rsidRDefault="00AD1405">
      <w:pPr>
        <w:pStyle w:val="ConsPlusNormal"/>
        <w:ind w:firstLine="540"/>
        <w:jc w:val="both"/>
      </w:pPr>
      <w:r>
        <w:t xml:space="preserve">6. Электронные приложения должны предоставлять возможность исполнения команд, обеспечивающих безопасным для эмитента электронного приложения способом блокирование и </w:t>
      </w:r>
      <w:r>
        <w:lastRenderedPageBreak/>
        <w:t>разблокирование электронных приложений карты, выданной пользователю.</w:t>
      </w:r>
    </w:p>
    <w:p w:rsidR="00AD1405" w:rsidRDefault="00AD1405">
      <w:pPr>
        <w:pStyle w:val="ConsPlusNormal"/>
        <w:ind w:firstLine="540"/>
        <w:jc w:val="both"/>
      </w:pPr>
      <w:r>
        <w:t>7. Электронные приложения должны обеспечивать следующие варианты предоставления доступа для чтения содержащихся в них сведений (отдельных сведений):</w:t>
      </w:r>
    </w:p>
    <w:p w:rsidR="00AD1405" w:rsidRDefault="00AD1405">
      <w:pPr>
        <w:pStyle w:val="ConsPlusNormal"/>
        <w:ind w:firstLine="540"/>
        <w:jc w:val="both"/>
      </w:pPr>
      <w:r>
        <w:t>1) открытый доступ;</w:t>
      </w:r>
    </w:p>
    <w:p w:rsidR="00AD1405" w:rsidRDefault="00AD1405">
      <w:pPr>
        <w:pStyle w:val="ConsPlusNormal"/>
        <w:ind w:firstLine="540"/>
        <w:jc w:val="both"/>
      </w:pPr>
      <w:r>
        <w:t>2) доступ после успешной аутентификации картой устройства обслуживания;</w:t>
      </w:r>
    </w:p>
    <w:p w:rsidR="00AD1405" w:rsidRDefault="00AD1405">
      <w:pPr>
        <w:pStyle w:val="ConsPlusNormal"/>
        <w:ind w:firstLine="540"/>
        <w:jc w:val="both"/>
      </w:pPr>
      <w:r>
        <w:t>3) доступ после успешной проверки персонального идентификационного номера карты, в</w:t>
      </w:r>
      <w:r>
        <w:t>ы</w:t>
      </w:r>
      <w:r>
        <w:t>данного пользователю;</w:t>
      </w:r>
    </w:p>
    <w:p w:rsidR="00AD1405" w:rsidRDefault="00AD1405">
      <w:pPr>
        <w:pStyle w:val="ConsPlusNormal"/>
        <w:ind w:firstLine="540"/>
        <w:jc w:val="both"/>
      </w:pPr>
      <w:r>
        <w:t>4) доступ после успешной аутентификации картой устройства обслуживания и успешной проверки персонального идентификационного номера карты, выданного пользователю.</w:t>
      </w:r>
    </w:p>
    <w:p w:rsidR="00AD1405" w:rsidRDefault="00AD1405">
      <w:pPr>
        <w:pStyle w:val="ConsPlusNormal"/>
        <w:ind w:firstLine="540"/>
        <w:jc w:val="both"/>
      </w:pPr>
      <w:r>
        <w:t>8. Электронные приложения должны обеспечивать следующие варианты предоставления доступа для изменения содержащихся в них сведений (отдельных сведений):</w:t>
      </w:r>
    </w:p>
    <w:p w:rsidR="00AD1405" w:rsidRDefault="00AD1405">
      <w:pPr>
        <w:pStyle w:val="ConsPlusNormal"/>
        <w:ind w:firstLine="540"/>
        <w:jc w:val="both"/>
      </w:pPr>
      <w:r>
        <w:t>1) доступ после успешной аутентификации картой устройства обслуживания;</w:t>
      </w:r>
    </w:p>
    <w:p w:rsidR="00AD1405" w:rsidRDefault="00AD1405">
      <w:pPr>
        <w:pStyle w:val="ConsPlusNormal"/>
        <w:ind w:firstLine="540"/>
        <w:jc w:val="both"/>
      </w:pPr>
      <w:r>
        <w:t>2) доступ после успешной проверки персонального идентификационного номера карты, в</w:t>
      </w:r>
      <w:r>
        <w:t>ы</w:t>
      </w:r>
      <w:r>
        <w:t>данного пользователю;</w:t>
      </w:r>
    </w:p>
    <w:p w:rsidR="00AD1405" w:rsidRDefault="00AD1405">
      <w:pPr>
        <w:pStyle w:val="ConsPlusNormal"/>
        <w:ind w:firstLine="540"/>
        <w:jc w:val="both"/>
      </w:pPr>
      <w:r>
        <w:t>3) доступ после успешной аутентификации картой устройства обслуживания и успешной проверки персонального идентификационного номера карты, выданного пользователю.</w:t>
      </w:r>
    </w:p>
    <w:p w:rsidR="00AD1405" w:rsidRDefault="00AD1405">
      <w:pPr>
        <w:pStyle w:val="ConsPlusNormal"/>
        <w:ind w:firstLine="540"/>
        <w:jc w:val="both"/>
      </w:pPr>
      <w:r>
        <w:t>9. Варианты предоставления доступа к информации, содержащейся в электронных прил</w:t>
      </w:r>
      <w:r>
        <w:t>о</w:t>
      </w:r>
      <w:r>
        <w:t>жениях или в области данных электронного приложения карты, устанавливаются эмитентом эле</w:t>
      </w:r>
      <w:r>
        <w:t>к</w:t>
      </w:r>
      <w:r>
        <w:t>тронного приложения.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jc w:val="center"/>
      </w:pPr>
      <w:r>
        <w:t>_______________</w:t>
      </w: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ind w:firstLine="540"/>
        <w:jc w:val="both"/>
      </w:pPr>
    </w:p>
    <w:p w:rsidR="00AD1405" w:rsidRDefault="00AD1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5D9E" w:rsidRDefault="00EA5D9E"/>
    <w:sectPr w:rsidR="00EA5D9E" w:rsidSect="00AD140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05"/>
    <w:rsid w:val="00AD1405"/>
    <w:rsid w:val="00E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53E6454CF8BEBEACF79769E8AA0862D759FA379B778405BCF73EF89260DB889C68369123C440E9v9B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BD2E-25FE-442C-B4E6-DFCC1F19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DLBorshev</dc:creator>
  <cp:lastModifiedBy>DLBorshev</cp:lastModifiedBy>
  <cp:revision>1</cp:revision>
  <dcterms:created xsi:type="dcterms:W3CDTF">2016-09-02T06:01:00Z</dcterms:created>
  <dcterms:modified xsi:type="dcterms:W3CDTF">2016-09-02T06:06:00Z</dcterms:modified>
</cp:coreProperties>
</file>