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6"/>
        <w:gridCol w:w="5307"/>
        <w:gridCol w:w="5307"/>
      </w:tblGrid>
      <w:tr w:rsidR="002C60C4" w:rsidTr="0095736D">
        <w:tc>
          <w:tcPr>
            <w:tcW w:w="5306" w:type="dxa"/>
          </w:tcPr>
          <w:p w:rsidR="002C60C4" w:rsidRPr="002C60C4" w:rsidRDefault="00D4432B" w:rsidP="002C60C4">
            <w:pPr>
              <w:widowControl w:val="0"/>
              <w:rPr>
                <w:rFonts w:ascii="Book Antiqua" w:hAnsi="Book Antiqua"/>
                <w:sz w:val="22"/>
              </w:rPr>
            </w:pPr>
            <w:r w:rsidRPr="00D4432B">
              <w:rPr>
                <w:noProof/>
                <w:lang w:eastAsia="ru-RU"/>
              </w:rPr>
              <w:pict>
                <v:rect id="_x0000_s1030" style="position:absolute;margin-left:-29.15pt;margin-top:7.75pt;width:843.85pt;height:41.45pt;z-index:251658239" fillcolor="#8db3e2 [1311]" stroked="f"/>
              </w:pict>
            </w:r>
            <w:r w:rsidR="009F587B" w:rsidRPr="009F587B"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-409234</wp:posOffset>
                  </wp:positionH>
                  <wp:positionV relativeFrom="paragraph">
                    <wp:posOffset>-360045</wp:posOffset>
                  </wp:positionV>
                  <wp:extent cx="10803625" cy="7645247"/>
                  <wp:effectExtent l="19050" t="0" r="0" b="0"/>
                  <wp:wrapNone/>
                  <wp:docPr id="13" name="Рисунок 3" descr="фла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лаг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4098" cy="7652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4432B">
              <w:rPr>
                <w:noProof/>
                <w:lang w:eastAsia="ru-RU"/>
              </w:rPr>
              <w:pict>
                <v:rect id="_x0000_s1027" style="position:absolute;margin-left:1.65pt;margin-top:5.65pt;width:236.25pt;height:518.25pt;z-index:251659264;mso-position-horizontal-relative:text;mso-position-vertical-relative:text" strokecolor="#8db3e2 [1311]" strokeweight="2.25pt">
                  <v:textbox style="mso-next-textbox:#_x0000_s1027">
                    <w:txbxContent>
                      <w:p w:rsidR="00C530A2" w:rsidRPr="00C530A2" w:rsidRDefault="00C530A2" w:rsidP="00C530A2">
                        <w:pPr>
                          <w:spacing w:before="100" w:beforeAutospacing="1" w:after="0"/>
                          <w:ind w:firstLine="284"/>
                          <w:jc w:val="both"/>
                          <w:rPr>
                            <w:color w:val="000001"/>
                            <w:sz w:val="18"/>
                            <w:szCs w:val="18"/>
                          </w:rPr>
                        </w:pPr>
                        <w:r w:rsidRPr="00C530A2">
                          <w:rPr>
                            <w:color w:val="000001"/>
                            <w:sz w:val="18"/>
                            <w:szCs w:val="18"/>
                          </w:rPr>
                          <w:t>21. </w:t>
                        </w:r>
                        <w:proofErr w:type="gramStart"/>
                        <w:r w:rsidRPr="00C530A2">
                          <w:rPr>
                            <w:color w:val="000001"/>
                            <w:sz w:val="18"/>
                            <w:szCs w:val="18"/>
                          </w:rPr>
                          <w:t xml:space="preserve">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лицензионными обучающими и тестирующими программами, проведение выставок, конкурсов и смотров по охране труда. </w:t>
                        </w:r>
                        <w:proofErr w:type="gramEnd"/>
                      </w:p>
                      <w:p w:rsidR="00C530A2" w:rsidRPr="00C530A2" w:rsidRDefault="00C530A2" w:rsidP="00C530A2">
                        <w:pPr>
                          <w:pStyle w:val="FORMATTEXT"/>
                          <w:spacing w:before="100" w:beforeAutospacing="1"/>
                          <w:ind w:firstLine="284"/>
                          <w:jc w:val="both"/>
                          <w:rPr>
                            <w:color w:val="000001"/>
                            <w:sz w:val="18"/>
                            <w:szCs w:val="18"/>
                          </w:rPr>
                        </w:pPr>
                        <w:r w:rsidRPr="00C530A2">
                          <w:rPr>
                            <w:color w:val="000001"/>
                            <w:sz w:val="18"/>
                            <w:szCs w:val="18"/>
                          </w:rPr>
                          <w:t xml:space="preserve">22. Организация в установленном порядке обучения, инструктажа, проверки знаний по охране труда работников. </w:t>
                        </w:r>
                      </w:p>
                      <w:p w:rsidR="00C530A2" w:rsidRPr="00C530A2" w:rsidRDefault="00C530A2" w:rsidP="00C530A2">
                        <w:pPr>
                          <w:pStyle w:val="FORMATTEXT"/>
                          <w:spacing w:before="100" w:beforeAutospacing="1"/>
                          <w:ind w:firstLine="284"/>
                          <w:jc w:val="both"/>
                          <w:rPr>
                            <w:color w:val="000001"/>
                            <w:sz w:val="18"/>
                            <w:szCs w:val="18"/>
                          </w:rPr>
                        </w:pPr>
                        <w:r w:rsidRPr="00C530A2">
                          <w:rPr>
                            <w:color w:val="000001"/>
                            <w:sz w:val="18"/>
                            <w:szCs w:val="18"/>
                          </w:rPr>
                          <w:t xml:space="preserve">23. Организация обучения работников оказанию первой помощи пострадавшим на производстве. </w:t>
                        </w:r>
                      </w:p>
                      <w:p w:rsidR="00C530A2" w:rsidRPr="00C530A2" w:rsidRDefault="00C530A2" w:rsidP="00C530A2">
                        <w:pPr>
                          <w:pStyle w:val="FORMATTEXT"/>
                          <w:spacing w:before="100" w:beforeAutospacing="1"/>
                          <w:ind w:firstLine="284"/>
                          <w:jc w:val="both"/>
                          <w:rPr>
                            <w:color w:val="000001"/>
                            <w:sz w:val="18"/>
                            <w:szCs w:val="18"/>
                          </w:rPr>
                        </w:pPr>
                        <w:r w:rsidRPr="00C530A2">
                          <w:rPr>
                            <w:color w:val="000001"/>
                            <w:sz w:val="18"/>
                            <w:szCs w:val="18"/>
                          </w:rPr>
                          <w:t xml:space="preserve">24. Обучение лиц, ответственных за эксплуатацию опасных производственных объектов. </w:t>
                        </w:r>
                      </w:p>
                      <w:p w:rsidR="00C530A2" w:rsidRPr="00C530A2" w:rsidRDefault="00C530A2" w:rsidP="00C530A2">
                        <w:pPr>
                          <w:pStyle w:val="FORMATTEXT"/>
                          <w:spacing w:before="100" w:beforeAutospacing="1"/>
                          <w:ind w:firstLine="284"/>
                          <w:jc w:val="both"/>
                          <w:rPr>
                            <w:color w:val="000001"/>
                            <w:sz w:val="18"/>
                            <w:szCs w:val="18"/>
                          </w:rPr>
                        </w:pPr>
                        <w:r w:rsidRPr="00C530A2">
                          <w:rPr>
                            <w:color w:val="000001"/>
                            <w:sz w:val="18"/>
                            <w:szCs w:val="18"/>
                          </w:rPr>
                          <w:t xml:space="preserve">25. Проведение в установленном порядке обязательных предварительных и периодических медицинских осмотров (обследований). </w:t>
                        </w:r>
                      </w:p>
                      <w:p w:rsidR="00C530A2" w:rsidRPr="00C530A2" w:rsidRDefault="00C530A2" w:rsidP="00C530A2">
                        <w:pPr>
                          <w:pStyle w:val="FORMATTEXT"/>
                          <w:spacing w:before="100" w:beforeAutospacing="1"/>
                          <w:ind w:firstLine="284"/>
                          <w:jc w:val="both"/>
                          <w:rPr>
                            <w:color w:val="000001"/>
                            <w:sz w:val="18"/>
                            <w:szCs w:val="18"/>
                          </w:rPr>
                        </w:pPr>
                        <w:r w:rsidRPr="00C530A2">
                          <w:rPr>
                            <w:color w:val="000001"/>
                            <w:sz w:val="18"/>
                            <w:szCs w:val="18"/>
                          </w:rPr>
                          <w:t xml:space="preserve">26. 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лекарственных средств и препаратов для оказания первой помощи. </w:t>
                        </w:r>
                      </w:p>
                      <w:p w:rsidR="00C530A2" w:rsidRPr="00C530A2" w:rsidRDefault="00C530A2" w:rsidP="00C530A2">
                        <w:pPr>
                          <w:pStyle w:val="FORMATTEXT"/>
                          <w:spacing w:before="100" w:beforeAutospacing="1"/>
                          <w:ind w:firstLine="284"/>
                          <w:jc w:val="both"/>
                          <w:rPr>
                            <w:color w:val="000001"/>
                            <w:sz w:val="18"/>
                            <w:szCs w:val="18"/>
                          </w:rPr>
                        </w:pPr>
                        <w:r w:rsidRPr="00C530A2">
                          <w:rPr>
                            <w:color w:val="000001"/>
                            <w:sz w:val="18"/>
                            <w:szCs w:val="18"/>
                          </w:rPr>
                          <w:t xml:space="preserve">27. Устройство тротуаров, переходов, тоннелей, галерей на территории организации в целях обеспечения безопасности работников. </w:t>
                        </w:r>
                      </w:p>
                      <w:p w:rsidR="00C530A2" w:rsidRPr="00C530A2" w:rsidRDefault="00C530A2" w:rsidP="00C530A2">
                        <w:pPr>
                          <w:pStyle w:val="FORMATTEXT"/>
                          <w:spacing w:before="100" w:beforeAutospacing="1"/>
                          <w:ind w:firstLine="284"/>
                          <w:jc w:val="both"/>
                          <w:rPr>
                            <w:color w:val="000001"/>
                            <w:sz w:val="18"/>
                            <w:szCs w:val="18"/>
                          </w:rPr>
                        </w:pPr>
                        <w:r w:rsidRPr="00C530A2">
                          <w:rPr>
                            <w:color w:val="000001"/>
                            <w:sz w:val="18"/>
                            <w:szCs w:val="18"/>
                          </w:rPr>
                          <w:t xml:space="preserve">28. Организация и проведение производственного контроля в порядке, установленном действующим законодательством. </w:t>
                        </w:r>
                      </w:p>
                      <w:p w:rsidR="00C530A2" w:rsidRPr="00C530A2" w:rsidRDefault="00C530A2" w:rsidP="00C530A2">
                        <w:pPr>
                          <w:pStyle w:val="FORMATTEXT"/>
                          <w:spacing w:before="100" w:beforeAutospacing="1"/>
                          <w:ind w:firstLine="284"/>
                          <w:jc w:val="both"/>
                          <w:rPr>
                            <w:color w:val="000001"/>
                            <w:sz w:val="18"/>
                            <w:szCs w:val="18"/>
                          </w:rPr>
                        </w:pPr>
                        <w:r w:rsidRPr="00C530A2">
                          <w:rPr>
                            <w:color w:val="000001"/>
                            <w:sz w:val="18"/>
                            <w:szCs w:val="18"/>
                          </w:rPr>
                          <w:t xml:space="preserve">29. Издание (тиражирование) инструкций по охране труда. </w:t>
                        </w:r>
                      </w:p>
                      <w:p w:rsidR="00545DD7" w:rsidRPr="00C530A2" w:rsidRDefault="00545DD7" w:rsidP="00C530A2">
                        <w:pPr>
                          <w:spacing w:before="100" w:beforeAutospacing="1" w:after="0"/>
                          <w:ind w:firstLine="284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 w:rsidR="002C60C4">
              <w:rPr>
                <w:lang w:val="en-US"/>
              </w:rPr>
              <w:t> </w:t>
            </w:r>
          </w:p>
          <w:p w:rsidR="002C60C4" w:rsidRDefault="002C60C4"/>
        </w:tc>
        <w:tc>
          <w:tcPr>
            <w:tcW w:w="5307" w:type="dxa"/>
          </w:tcPr>
          <w:p w:rsidR="002C60C4" w:rsidRPr="002C60C4" w:rsidRDefault="00D4432B" w:rsidP="002C60C4">
            <w:pPr>
              <w:widowControl w:val="0"/>
              <w:rPr>
                <w:rFonts w:ascii="Book Antiqua" w:hAnsi="Book Antiqua"/>
                <w:sz w:val="22"/>
              </w:rPr>
            </w:pPr>
            <w:r w:rsidRPr="00D4432B">
              <w:rPr>
                <w:noProof/>
                <w:lang w:eastAsia="ru-RU"/>
              </w:rPr>
              <w:pict>
                <v:rect id="_x0000_s1028" style="position:absolute;margin-left:10.85pt;margin-top:5.65pt;width:233.25pt;height:518.25pt;z-index:251660288;mso-position-horizontal-relative:text;mso-position-vertical-relative:text" strokecolor="#8db3e2 [1311]" strokeweight="2.25pt">
                  <v:textbox style="mso-next-textbox:#_x0000_s1028">
                    <w:txbxContent>
                      <w:p w:rsidR="00C530A2" w:rsidRPr="00C530A2" w:rsidRDefault="00C530A2" w:rsidP="00C530A2">
                        <w:pPr>
                          <w:pStyle w:val="FORMATTEXT"/>
                          <w:spacing w:before="100" w:beforeAutospacing="1"/>
                          <w:ind w:firstLine="284"/>
                          <w:jc w:val="both"/>
                          <w:rPr>
                            <w:color w:val="000001"/>
                            <w:sz w:val="18"/>
                            <w:szCs w:val="18"/>
                          </w:rPr>
                        </w:pPr>
                        <w:r w:rsidRPr="00C530A2">
                          <w:rPr>
                            <w:color w:val="000001"/>
                            <w:sz w:val="18"/>
                            <w:szCs w:val="18"/>
                          </w:rPr>
                          <w:t xml:space="preserve">30. Перепланировка размещения производственного оборудования, организация рабочих мест с целью обеспечения безопасности работников. </w:t>
                        </w:r>
                      </w:p>
                      <w:p w:rsidR="00C530A2" w:rsidRPr="00C530A2" w:rsidRDefault="00C530A2" w:rsidP="00C530A2">
                        <w:pPr>
                          <w:pStyle w:val="FORMATTEXT"/>
                          <w:spacing w:before="100" w:beforeAutospacing="1"/>
                          <w:ind w:firstLine="284"/>
                          <w:jc w:val="both"/>
                          <w:rPr>
                            <w:color w:val="000001"/>
                            <w:sz w:val="18"/>
                            <w:szCs w:val="18"/>
                          </w:rPr>
                        </w:pPr>
                        <w:r w:rsidRPr="00C530A2">
                          <w:rPr>
                            <w:color w:val="000001"/>
                            <w:sz w:val="18"/>
                            <w:szCs w:val="18"/>
                          </w:rPr>
                          <w:t xml:space="preserve">31. 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 </w:t>
                        </w:r>
                      </w:p>
                      <w:p w:rsidR="00C530A2" w:rsidRPr="00C530A2" w:rsidRDefault="00C530A2" w:rsidP="00C530A2">
                        <w:pPr>
                          <w:pStyle w:val="FORMATTEXT"/>
                          <w:spacing w:before="100" w:beforeAutospacing="1"/>
                          <w:ind w:firstLine="284"/>
                          <w:jc w:val="both"/>
                          <w:rPr>
                            <w:color w:val="000001"/>
                            <w:sz w:val="18"/>
                            <w:szCs w:val="18"/>
                          </w:rPr>
                        </w:pPr>
                        <w:proofErr w:type="spellStart"/>
                        <w:r w:rsidRPr="00C530A2">
                          <w:rPr>
                            <w:color w:val="000001"/>
                            <w:sz w:val="18"/>
                            <w:szCs w:val="18"/>
                          </w:rPr>
                          <w:t>Минздравсоцразвития</w:t>
                        </w:r>
                        <w:proofErr w:type="spellEnd"/>
                        <w:r w:rsidRPr="00C530A2">
                          <w:rPr>
                            <w:color w:val="000001"/>
                            <w:sz w:val="18"/>
                            <w:szCs w:val="18"/>
                          </w:rPr>
                          <w:t xml:space="preserve"> РФ уточняет, что именно на эти мероприятия работодатель вправе направить финансы, и это будет считаться целевым использованием средств, запланированных на улучшение условий труда.</w:t>
                        </w:r>
                      </w:p>
                      <w:p w:rsidR="00C530A2" w:rsidRPr="00C530A2" w:rsidRDefault="00C530A2" w:rsidP="00C530A2">
                        <w:pPr>
                          <w:spacing w:before="100" w:beforeAutospacing="1"/>
                          <w:ind w:firstLine="284"/>
                          <w:jc w:val="both"/>
                          <w:rPr>
                            <w:color w:val="000001"/>
                            <w:sz w:val="18"/>
                            <w:szCs w:val="18"/>
                          </w:rPr>
                        </w:pPr>
                        <w:r w:rsidRPr="00C530A2">
                          <w:rPr>
                            <w:color w:val="000001"/>
                            <w:sz w:val="18"/>
                            <w:szCs w:val="18"/>
                          </w:rPr>
                          <w:t>На основании Типового перечня организация составляет свой перечень мероприятий по улучшению условий и охраны труда и снижению уровней профессиональных рисков, который, как правило, является приложением к коллективному договору, заключенному между работодателем и работниками. При отсутствии в организации коллективного договора мероприятия, указанные в перечне, включаются в План мероприятий по улучшению условий и охраны труда, который может обновляться ежегодно.</w:t>
                        </w:r>
                      </w:p>
                      <w:p w:rsidR="00C530A2" w:rsidRPr="00C530A2" w:rsidRDefault="00C530A2" w:rsidP="00C530A2">
                        <w:pPr>
                          <w:pStyle w:val="FORMATTEXT"/>
                          <w:spacing w:before="100" w:beforeAutospacing="1"/>
                          <w:ind w:firstLine="284"/>
                          <w:jc w:val="both"/>
                          <w:rPr>
                            <w:color w:val="000001"/>
                            <w:sz w:val="18"/>
                            <w:szCs w:val="18"/>
                          </w:rPr>
                        </w:pPr>
                        <w:proofErr w:type="gramStart"/>
                        <w:r w:rsidRPr="00C530A2">
                          <w:rPr>
                            <w:color w:val="000001"/>
                            <w:sz w:val="18"/>
                            <w:szCs w:val="18"/>
                          </w:rPr>
                          <w:t>Согласно Трудовому кодексу Российской Федерации (далее – ТК РФ) охрана труда работников является обязанностью работодателя, при этом статьей 226 ТК РФ установлено, что 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 процента суммы затрат на производство продукции (работ, услуг).</w:t>
                        </w:r>
                        <w:proofErr w:type="gramEnd"/>
                      </w:p>
                      <w:p w:rsidR="00C530A2" w:rsidRPr="00C530A2" w:rsidRDefault="00C530A2" w:rsidP="00C530A2">
                        <w:pPr>
                          <w:pStyle w:val="FORMATTEXT"/>
                          <w:spacing w:before="100" w:beforeAutospacing="1"/>
                          <w:ind w:firstLine="284"/>
                          <w:jc w:val="both"/>
                          <w:rPr>
                            <w:color w:val="000001"/>
                            <w:sz w:val="18"/>
                            <w:szCs w:val="18"/>
                          </w:rPr>
                        </w:pPr>
                        <w:proofErr w:type="spellStart"/>
                        <w:r w:rsidRPr="00C530A2">
                          <w:rPr>
                            <w:color w:val="000001"/>
                            <w:sz w:val="18"/>
                            <w:szCs w:val="18"/>
                          </w:rPr>
                          <w:t>Минздравсоцразвития</w:t>
                        </w:r>
                        <w:proofErr w:type="spellEnd"/>
                        <w:r w:rsidRPr="00C530A2">
                          <w:rPr>
                            <w:color w:val="000001"/>
                            <w:sz w:val="18"/>
                            <w:szCs w:val="18"/>
                          </w:rPr>
                          <w:t xml:space="preserve"> РФ также отмечает, что работодатель не обязан реализовывать все мероприятия, вошедшие в типовой перечень. Конкретный перечень мероприятий по улучшению условий и охраны труда и снижению уровней профессиональных рисков определяется работодателем исходя из специфики его деятельности. </w:t>
                        </w:r>
                      </w:p>
                      <w:p w:rsidR="002C60C4" w:rsidRPr="00C530A2" w:rsidRDefault="002C60C4" w:rsidP="00C530A2">
                        <w:pPr>
                          <w:spacing w:before="100" w:beforeAutospacing="1"/>
                          <w:ind w:firstLine="284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 w:rsidR="002C60C4">
              <w:rPr>
                <w:lang w:val="en-US"/>
              </w:rPr>
              <w:t> </w:t>
            </w:r>
          </w:p>
          <w:p w:rsidR="002C60C4" w:rsidRDefault="002C60C4"/>
        </w:tc>
        <w:tc>
          <w:tcPr>
            <w:tcW w:w="5307" w:type="dxa"/>
          </w:tcPr>
          <w:p w:rsidR="002C60C4" w:rsidRDefault="00D4432B" w:rsidP="002C60C4">
            <w:pPr>
              <w:pStyle w:val="4"/>
              <w:widowControl w:val="0"/>
              <w:outlineLvl w:val="3"/>
              <w:rPr>
                <w:lang w:val="en-US"/>
              </w:rPr>
            </w:pPr>
            <w:r>
              <w:rPr>
                <w:noProof/>
              </w:rPr>
              <w:pict>
                <v:rect id="_x0000_s1029" style="position:absolute;left:0;text-align:left;margin-left:17.75pt;margin-top:9.25pt;width:234.75pt;height:529.45pt;z-index:251661312;mso-position-horizontal-relative:text;mso-position-vertical-relative:text" filled="f" stroked="f">
                  <v:textbox style="mso-next-textbox:#_x0000_s1029">
                    <w:txbxContent>
                      <w:p w:rsidR="002C60C4" w:rsidRPr="00001F2F" w:rsidRDefault="002C60C4" w:rsidP="002C60C4">
                        <w:pPr>
                          <w:spacing w:line="273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60C4">
                          <w:rPr>
                            <w:b/>
                            <w:bCs/>
                            <w:sz w:val="24"/>
                            <w:szCs w:val="24"/>
                          </w:rPr>
                          <w:t>Министерство труда и социального развития Омской области</w:t>
                        </w:r>
                        <w:r w:rsidRPr="002C60C4">
                          <w:rPr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  <w:p w:rsidR="00AE74F4" w:rsidRPr="002C60C4" w:rsidRDefault="00AE74F4" w:rsidP="002C60C4">
                        <w:pPr>
                          <w:spacing w:line="273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2C60C4" w:rsidRPr="002C60C4" w:rsidRDefault="002C60C4" w:rsidP="002C60C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60C4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078230" cy="86677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5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8230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algn="in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C60C4" w:rsidRPr="002C60C4" w:rsidRDefault="002C60C4" w:rsidP="002C60C4">
                        <w:pPr>
                          <w:widowControl w:val="0"/>
                          <w:tabs>
                            <w:tab w:val="left" w:pos="225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1A408E" w:rsidRPr="001A408E" w:rsidRDefault="001A408E" w:rsidP="001A408E">
                        <w:pPr>
                          <w:jc w:val="center"/>
                          <w:rPr>
                            <w:b/>
                            <w:color w:val="000000"/>
                            <w:sz w:val="32"/>
                            <w:szCs w:val="28"/>
                          </w:rPr>
                        </w:pPr>
                        <w:r w:rsidRPr="001A408E">
                          <w:rPr>
                            <w:b/>
                            <w:color w:val="000000"/>
                            <w:sz w:val="32"/>
                            <w:szCs w:val="28"/>
                          </w:rPr>
                          <w:t>Типовой перечень мероприятий по улучшению условий и охраны труда, реализуемых р</w:t>
                        </w:r>
                        <w:r w:rsidRPr="001A408E">
                          <w:rPr>
                            <w:b/>
                            <w:color w:val="000000"/>
                            <w:sz w:val="32"/>
                            <w:szCs w:val="28"/>
                          </w:rPr>
                          <w:t>а</w:t>
                        </w:r>
                        <w:r w:rsidRPr="001A408E">
                          <w:rPr>
                            <w:b/>
                            <w:color w:val="000000"/>
                            <w:sz w:val="32"/>
                            <w:szCs w:val="28"/>
                          </w:rPr>
                          <w:t>ботодателем</w:t>
                        </w:r>
                      </w:p>
                      <w:p w:rsidR="001A408E" w:rsidRPr="00FC4458" w:rsidRDefault="001A408E" w:rsidP="001A408E">
                        <w:pPr>
                          <w:ind w:firstLine="709"/>
                          <w:jc w:val="center"/>
                          <w:rPr>
                            <w:szCs w:val="28"/>
                          </w:rPr>
                        </w:pPr>
                      </w:p>
                      <w:p w:rsidR="00356C5A" w:rsidRDefault="002C60C4" w:rsidP="001A408E">
                        <w:pPr>
                          <w:widowControl w:val="0"/>
                          <w:spacing w:after="200" w:line="276" w:lineRule="auto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  <w:r w:rsidRPr="00417D67">
                          <w:rPr>
                            <w:szCs w:val="28"/>
                            <w:lang w:val="en-US"/>
                          </w:rPr>
                          <w:t> </w:t>
                        </w: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95736D" w:rsidRPr="00417D67" w:rsidRDefault="0095736D" w:rsidP="002C60C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C60C4" w:rsidRPr="002C60C4" w:rsidRDefault="002C60C4" w:rsidP="002C60C4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2014 год</w:t>
                        </w:r>
                      </w:p>
                    </w:txbxContent>
                  </v:textbox>
                </v:rect>
              </w:pict>
            </w: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P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</w:tc>
      </w:tr>
    </w:tbl>
    <w:p w:rsidR="00671F6B" w:rsidRPr="002C60C4" w:rsidRDefault="0005700B" w:rsidP="002C60C4">
      <w:pPr>
        <w:rPr>
          <w:lang w:val="en-US"/>
        </w:rPr>
      </w:pPr>
      <w:r>
        <w:rPr>
          <w:noProof/>
          <w:lang w:eastAsia="ru-RU"/>
        </w:rPr>
        <w:lastRenderedPageBreak/>
        <w:pict>
          <v:rect id="_x0000_s1032" style="position:absolute;margin-left:3.4pt;margin-top:5.85pt;width:242.75pt;height:514.3pt;z-index:251666432;mso-position-horizontal-relative:text;mso-position-vertical-relative:text" strokecolor="#8db3e2 [1311]" strokeweight="2.25pt">
            <v:textbox style="mso-next-textbox:#_x0000_s1032">
              <w:txbxContent>
                <w:p w:rsidR="001A408E" w:rsidRPr="00C530A2" w:rsidRDefault="001A408E" w:rsidP="00C530A2">
                  <w:pPr>
                    <w:pStyle w:val="HEADERTEXT"/>
                    <w:spacing w:before="100" w:beforeAutospacing="1"/>
                    <w:ind w:firstLine="284"/>
                    <w:jc w:val="both"/>
                    <w:rPr>
                      <w:rFonts w:ascii="Times New Roman" w:hAnsi="Times New Roman" w:cs="Times New Roman"/>
                      <w:bCs/>
                      <w:color w:val="000001"/>
                      <w:sz w:val="18"/>
                      <w:szCs w:val="18"/>
                    </w:rPr>
                  </w:pPr>
                  <w:proofErr w:type="gramStart"/>
                  <w:r w:rsidRPr="00C530A2">
                    <w:rPr>
                      <w:rFonts w:ascii="Times New Roman" w:hAnsi="Times New Roman" w:cs="Times New Roman"/>
                      <w:bCs/>
                      <w:color w:val="000001"/>
                      <w:sz w:val="18"/>
                      <w:szCs w:val="18"/>
                    </w:rPr>
                    <w:t xml:space="preserve">Приказом </w:t>
                  </w:r>
                  <w:proofErr w:type="spellStart"/>
                  <w:r w:rsidRPr="00C530A2">
                    <w:rPr>
                      <w:rFonts w:ascii="Times New Roman" w:hAnsi="Times New Roman" w:cs="Times New Roman"/>
                      <w:bCs/>
                      <w:color w:val="000001"/>
                      <w:sz w:val="18"/>
                      <w:szCs w:val="18"/>
                    </w:rPr>
                    <w:t>Минздравсоцразвития</w:t>
                  </w:r>
                  <w:proofErr w:type="spellEnd"/>
                  <w:r w:rsidRPr="00C530A2">
                    <w:rPr>
                      <w:rFonts w:ascii="Times New Roman" w:hAnsi="Times New Roman" w:cs="Times New Roman"/>
                      <w:bCs/>
                      <w:color w:val="000001"/>
                      <w:sz w:val="18"/>
                      <w:szCs w:val="18"/>
                    </w:rPr>
                    <w:t xml:space="preserve"> Российской Федерации от 1 марта 2012 года № 181н утвержден Типовой перечень ежегодно реализуемых работодателем мероприятий по улучшению условий и охраны труда и снижению уровней профессиональных рисков, в который включено 31 мероприятие: </w:t>
                  </w:r>
                  <w:proofErr w:type="gramEnd"/>
                </w:p>
                <w:p w:rsidR="001A408E" w:rsidRPr="00C530A2" w:rsidRDefault="001A408E" w:rsidP="00C530A2">
                  <w:pPr>
                    <w:pStyle w:val="FORMATTEXT"/>
                    <w:spacing w:before="100" w:beforeAutospacing="1"/>
                    <w:ind w:firstLine="284"/>
                    <w:jc w:val="both"/>
                    <w:rPr>
                      <w:color w:val="000001"/>
                      <w:sz w:val="18"/>
                      <w:szCs w:val="18"/>
                    </w:rPr>
                  </w:pPr>
                  <w:r w:rsidRPr="00C530A2">
                    <w:rPr>
                      <w:color w:val="000001"/>
                      <w:sz w:val="18"/>
                      <w:szCs w:val="18"/>
                    </w:rPr>
                    <w:t xml:space="preserve">1. Проведение в установленном порядке работ по аттестации рабочих мест по условиям труда, оценке уровней профессиональных рисков. </w:t>
                  </w:r>
                </w:p>
                <w:p w:rsidR="001A408E" w:rsidRPr="00C530A2" w:rsidRDefault="001A408E" w:rsidP="00C530A2">
                  <w:pPr>
                    <w:pStyle w:val="FORMATTEXT"/>
                    <w:spacing w:before="100" w:beforeAutospacing="1"/>
                    <w:ind w:firstLine="284"/>
                    <w:jc w:val="both"/>
                    <w:rPr>
                      <w:color w:val="000001"/>
                      <w:sz w:val="18"/>
                      <w:szCs w:val="18"/>
                    </w:rPr>
                  </w:pPr>
                  <w:r w:rsidRPr="00C530A2">
                    <w:rPr>
                      <w:color w:val="000001"/>
                      <w:sz w:val="18"/>
                      <w:szCs w:val="18"/>
                    </w:rPr>
                    <w:t xml:space="preserve">2. Реализация мероприятий по улучшению условий труда, в том числе разработанных по результатам аттестации рабочих мест по условиям труда, и оценки уровней профессиональных рисков. </w:t>
                  </w:r>
                </w:p>
                <w:p w:rsidR="001A408E" w:rsidRPr="00C530A2" w:rsidRDefault="001A408E" w:rsidP="00C530A2">
                  <w:pPr>
                    <w:pStyle w:val="FORMATTEXT"/>
                    <w:spacing w:before="100" w:beforeAutospacing="1"/>
                    <w:ind w:firstLine="284"/>
                    <w:jc w:val="both"/>
                    <w:rPr>
                      <w:color w:val="000001"/>
                      <w:sz w:val="18"/>
                      <w:szCs w:val="18"/>
                    </w:rPr>
                  </w:pPr>
                  <w:r w:rsidRPr="00C530A2">
                    <w:rPr>
                      <w:color w:val="000001"/>
                      <w:sz w:val="18"/>
                      <w:szCs w:val="18"/>
                    </w:rPr>
                    <w:t xml:space="preserve">3. 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 </w:t>
                  </w:r>
                </w:p>
                <w:p w:rsidR="001A408E" w:rsidRPr="00C530A2" w:rsidRDefault="001A408E" w:rsidP="00C530A2">
                  <w:pPr>
                    <w:pStyle w:val="FORMATTEXT"/>
                    <w:spacing w:before="100" w:beforeAutospacing="1"/>
                    <w:ind w:firstLine="284"/>
                    <w:jc w:val="both"/>
                    <w:rPr>
                      <w:color w:val="000001"/>
                      <w:sz w:val="18"/>
                      <w:szCs w:val="18"/>
                    </w:rPr>
                  </w:pPr>
                  <w:r w:rsidRPr="00C530A2">
                    <w:rPr>
                      <w:color w:val="000001"/>
                      <w:sz w:val="18"/>
                      <w:szCs w:val="18"/>
                    </w:rPr>
                    <w:t xml:space="preserve">4. 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 </w:t>
                  </w:r>
                </w:p>
                <w:p w:rsidR="001A408E" w:rsidRPr="00C530A2" w:rsidRDefault="001A408E" w:rsidP="00C530A2">
                  <w:pPr>
                    <w:pStyle w:val="FORMATTEXT"/>
                    <w:spacing w:before="100" w:beforeAutospacing="1"/>
                    <w:ind w:firstLine="284"/>
                    <w:jc w:val="both"/>
                    <w:rPr>
                      <w:color w:val="000001"/>
                      <w:sz w:val="18"/>
                      <w:szCs w:val="18"/>
                    </w:rPr>
                  </w:pPr>
                  <w:r w:rsidRPr="00C530A2">
                    <w:rPr>
                      <w:color w:val="000001"/>
                      <w:sz w:val="18"/>
                      <w:szCs w:val="18"/>
                    </w:rPr>
                    <w:t xml:space="preserve">5. Устройство ограждений элементов производственного оборудования от воздействия движущихся частей, а также разлетающихся предметов, включая наличие фиксаторов, блокировок, герметизирующих и других элементов. </w:t>
                  </w:r>
                </w:p>
                <w:p w:rsidR="001A408E" w:rsidRPr="00C530A2" w:rsidRDefault="001A408E" w:rsidP="00C530A2">
                  <w:pPr>
                    <w:pStyle w:val="FORMATTEXT"/>
                    <w:spacing w:before="100" w:beforeAutospacing="1"/>
                    <w:ind w:firstLine="284"/>
                    <w:jc w:val="both"/>
                    <w:rPr>
                      <w:color w:val="000001"/>
                      <w:sz w:val="18"/>
                      <w:szCs w:val="18"/>
                    </w:rPr>
                  </w:pPr>
                  <w:r w:rsidRPr="00C530A2">
                    <w:rPr>
                      <w:color w:val="000001"/>
                      <w:sz w:val="18"/>
                      <w:szCs w:val="18"/>
                    </w:rPr>
                    <w:t xml:space="preserve">6. Устройство новых и (или) модернизация имеющихся средств коллективной защиты работников от воздействия опасных и вредных производственных факторов. </w:t>
                  </w:r>
                </w:p>
                <w:p w:rsidR="001A408E" w:rsidRPr="00C530A2" w:rsidRDefault="001A408E" w:rsidP="00C530A2">
                  <w:pPr>
                    <w:spacing w:before="100" w:beforeAutospacing="1"/>
                    <w:ind w:firstLine="284"/>
                    <w:jc w:val="both"/>
                    <w:rPr>
                      <w:color w:val="000001"/>
                      <w:sz w:val="18"/>
                      <w:szCs w:val="18"/>
                    </w:rPr>
                  </w:pPr>
                  <w:r w:rsidRPr="00C530A2">
                    <w:rPr>
                      <w:color w:val="000001"/>
                      <w:sz w:val="18"/>
                      <w:szCs w:val="18"/>
                    </w:rPr>
                    <w:t xml:space="preserve">7. Нанесение на производственное оборудование, органы управления и контроля, элементы конструкций, коммуникаций и </w:t>
                  </w:r>
                  <w:proofErr w:type="spellStart"/>
                  <w:r w:rsidRPr="00C530A2">
                    <w:rPr>
                      <w:color w:val="000001"/>
                      <w:sz w:val="18"/>
                      <w:szCs w:val="18"/>
                    </w:rPr>
                    <w:t>на</w:t>
                  </w:r>
                  <w:r w:rsidRPr="001A408E">
                    <w:rPr>
                      <w:color w:val="000001"/>
                      <w:sz w:val="20"/>
                      <w:szCs w:val="20"/>
                    </w:rPr>
                    <w:t>другие</w:t>
                  </w:r>
                  <w:proofErr w:type="spellEnd"/>
                  <w:r w:rsidRPr="001A408E">
                    <w:rPr>
                      <w:color w:val="000001"/>
                      <w:sz w:val="20"/>
                      <w:szCs w:val="20"/>
                    </w:rPr>
                    <w:t xml:space="preserve"> объекты сигнальных цветов и знаков безопасности. </w:t>
                  </w:r>
                </w:p>
                <w:p w:rsidR="00326BEE" w:rsidRPr="001A408E" w:rsidRDefault="00326BEE" w:rsidP="00C530A2">
                  <w:pPr>
                    <w:tabs>
                      <w:tab w:val="left" w:pos="993"/>
                    </w:tabs>
                    <w:spacing w:after="0" w:line="240" w:lineRule="auto"/>
                    <w:ind w:left="284" w:firstLine="284"/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D4432B">
        <w:rPr>
          <w:noProof/>
          <w:lang w:eastAsia="ru-RU"/>
        </w:rPr>
        <w:pict>
          <v:rect id="_x0000_s1033" style="position:absolute;margin-left:278.45pt;margin-top:5.85pt;width:241.45pt;height:518.25pt;z-index:251667456;mso-position-horizontal-relative:text;mso-position-vertical-relative:text" strokecolor="#8db3e2 [1311]" strokeweight="2.25pt">
            <v:textbox style="mso-next-textbox:#_x0000_s1033">
              <w:txbxContent>
                <w:p w:rsidR="001A408E" w:rsidRPr="00C530A2" w:rsidRDefault="001A408E" w:rsidP="00C530A2">
                  <w:pPr>
                    <w:pStyle w:val="FORMATTEXT"/>
                    <w:spacing w:before="100" w:beforeAutospacing="1"/>
                    <w:ind w:firstLine="426"/>
                    <w:jc w:val="both"/>
                    <w:rPr>
                      <w:color w:val="000001"/>
                      <w:sz w:val="18"/>
                      <w:szCs w:val="18"/>
                    </w:rPr>
                  </w:pPr>
                  <w:r w:rsidRPr="00C530A2">
                    <w:rPr>
                      <w:color w:val="000001"/>
                      <w:sz w:val="18"/>
                      <w:szCs w:val="18"/>
                    </w:rPr>
                    <w:t xml:space="preserve">8. Внедрение систем автоматического контроля уровней опасных и вредных производственных факторов на рабочих местах. </w:t>
                  </w:r>
                </w:p>
                <w:p w:rsidR="001A408E" w:rsidRPr="00C530A2" w:rsidRDefault="001A408E" w:rsidP="00C530A2">
                  <w:pPr>
                    <w:pStyle w:val="FORMATTEXT"/>
                    <w:spacing w:before="100" w:beforeAutospacing="1"/>
                    <w:ind w:firstLine="426"/>
                    <w:jc w:val="both"/>
                    <w:rPr>
                      <w:color w:val="000001"/>
                      <w:sz w:val="18"/>
                      <w:szCs w:val="18"/>
                    </w:rPr>
                  </w:pPr>
                  <w:r w:rsidRPr="00C530A2">
                    <w:rPr>
                      <w:color w:val="000001"/>
                      <w:sz w:val="18"/>
                      <w:szCs w:val="18"/>
                    </w:rPr>
                    <w:t xml:space="preserve">9. Внедрение и (или) модернизация технических устройств, обеспечивающих защиту работников от поражения электрическим током. </w:t>
                  </w:r>
                </w:p>
                <w:p w:rsidR="001A408E" w:rsidRPr="00C530A2" w:rsidRDefault="001A408E" w:rsidP="00C530A2">
                  <w:pPr>
                    <w:pStyle w:val="FORMATTEXT"/>
                    <w:spacing w:before="100" w:beforeAutospacing="1"/>
                    <w:ind w:firstLine="426"/>
                    <w:jc w:val="both"/>
                    <w:rPr>
                      <w:color w:val="000001"/>
                      <w:sz w:val="18"/>
                      <w:szCs w:val="18"/>
                    </w:rPr>
                  </w:pPr>
                  <w:r w:rsidRPr="00C530A2">
                    <w:rPr>
                      <w:color w:val="000001"/>
                      <w:sz w:val="18"/>
                      <w:szCs w:val="18"/>
                    </w:rPr>
                    <w:t xml:space="preserve">10. 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 </w:t>
                  </w:r>
                </w:p>
                <w:p w:rsidR="001A408E" w:rsidRPr="00C530A2" w:rsidRDefault="001A408E" w:rsidP="00C530A2">
                  <w:pPr>
                    <w:pStyle w:val="FORMATTEXT"/>
                    <w:spacing w:before="100" w:beforeAutospacing="1"/>
                    <w:ind w:firstLine="426"/>
                    <w:jc w:val="both"/>
                    <w:rPr>
                      <w:color w:val="000001"/>
                      <w:sz w:val="18"/>
                      <w:szCs w:val="18"/>
                    </w:rPr>
                  </w:pPr>
                  <w:r w:rsidRPr="00C530A2">
                    <w:rPr>
                      <w:color w:val="000001"/>
                      <w:sz w:val="18"/>
                      <w:szCs w:val="18"/>
                    </w:rPr>
                    <w:t xml:space="preserve">11. 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 </w:t>
                  </w:r>
                </w:p>
                <w:p w:rsidR="001A408E" w:rsidRPr="00C530A2" w:rsidRDefault="001A408E" w:rsidP="00C530A2">
                  <w:pPr>
                    <w:pStyle w:val="FORMATTEXT"/>
                    <w:spacing w:before="100" w:beforeAutospacing="1"/>
                    <w:ind w:firstLine="426"/>
                    <w:jc w:val="both"/>
                    <w:rPr>
                      <w:color w:val="000001"/>
                      <w:sz w:val="18"/>
                      <w:szCs w:val="18"/>
                    </w:rPr>
                  </w:pPr>
                  <w:r w:rsidRPr="00C530A2">
                    <w:rPr>
                      <w:color w:val="000001"/>
                      <w:sz w:val="18"/>
                      <w:szCs w:val="18"/>
                    </w:rPr>
                    <w:t xml:space="preserve">12. Механизация работ при складировании и транспортировании сырья, оптовой продукции и отходов производства. </w:t>
                  </w:r>
                </w:p>
                <w:p w:rsidR="001A408E" w:rsidRPr="00C530A2" w:rsidRDefault="001A408E" w:rsidP="00C530A2">
                  <w:pPr>
                    <w:pStyle w:val="FORMATTEXT"/>
                    <w:spacing w:before="100" w:beforeAutospacing="1"/>
                    <w:ind w:firstLine="426"/>
                    <w:jc w:val="both"/>
                    <w:rPr>
                      <w:color w:val="000001"/>
                      <w:sz w:val="18"/>
                      <w:szCs w:val="18"/>
                    </w:rPr>
                  </w:pPr>
                  <w:r w:rsidRPr="00C530A2">
                    <w:rPr>
                      <w:color w:val="000001"/>
                      <w:sz w:val="18"/>
                      <w:szCs w:val="18"/>
                    </w:rPr>
                    <w:t xml:space="preserve">13. 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 </w:t>
                  </w:r>
                </w:p>
                <w:p w:rsidR="001A408E" w:rsidRPr="00C530A2" w:rsidRDefault="001A408E" w:rsidP="00C530A2">
                  <w:pPr>
                    <w:pStyle w:val="FORMATTEXT"/>
                    <w:spacing w:before="100" w:beforeAutospacing="1"/>
                    <w:ind w:firstLine="426"/>
                    <w:jc w:val="both"/>
                    <w:rPr>
                      <w:color w:val="000001"/>
                      <w:sz w:val="18"/>
                      <w:szCs w:val="18"/>
                    </w:rPr>
                  </w:pPr>
                  <w:r w:rsidRPr="00C530A2">
                    <w:rPr>
                      <w:color w:val="000001"/>
                      <w:sz w:val="18"/>
                      <w:szCs w:val="18"/>
                    </w:rPr>
                    <w:t>14. </w:t>
                  </w:r>
                  <w:proofErr w:type="gramStart"/>
                  <w:r w:rsidRPr="00C530A2">
                    <w:rPr>
                      <w:color w:val="000001"/>
                      <w:sz w:val="18"/>
                      <w:szCs w:val="18"/>
                    </w:rPr>
                    <w:t xml:space="preserve">Модернизация оборудования (его реконструкция, замена),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ультрафиолетового). </w:t>
                  </w:r>
                  <w:proofErr w:type="gramEnd"/>
                </w:p>
                <w:p w:rsidR="00EB5496" w:rsidRPr="00C530A2" w:rsidRDefault="00EB5496" w:rsidP="00C530A2">
                  <w:pPr>
                    <w:tabs>
                      <w:tab w:val="num" w:pos="397"/>
                      <w:tab w:val="left" w:pos="426"/>
                    </w:tabs>
                    <w:spacing w:before="100" w:beforeAutospacing="1" w:after="0"/>
                    <w:ind w:firstLine="426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D4432B">
        <w:rPr>
          <w:noProof/>
          <w:lang w:eastAsia="ru-RU"/>
        </w:rPr>
        <w:pict>
          <v:rect id="_x0000_s1034" style="position:absolute;margin-left:550.5pt;margin-top:5.85pt;width:236.25pt;height:518.25pt;z-index:251668480;mso-position-horizontal-relative:text;mso-position-vertical-relative:text" strokecolor="#8db3e2 [1311]" strokeweight="2.25pt">
            <v:textbox style="mso-next-textbox:#_x0000_s1034">
              <w:txbxContent>
                <w:p w:rsidR="00C530A2" w:rsidRPr="00C530A2" w:rsidRDefault="00C530A2" w:rsidP="00C530A2">
                  <w:pPr>
                    <w:spacing w:before="100" w:beforeAutospacing="1"/>
                    <w:ind w:firstLine="284"/>
                    <w:jc w:val="both"/>
                    <w:rPr>
                      <w:color w:val="000001"/>
                      <w:sz w:val="18"/>
                      <w:szCs w:val="18"/>
                    </w:rPr>
                  </w:pPr>
                  <w:r w:rsidRPr="00C530A2">
                    <w:rPr>
                      <w:color w:val="000001"/>
                      <w:sz w:val="18"/>
                      <w:szCs w:val="18"/>
                    </w:rPr>
                    <w:t>15. </w:t>
                  </w:r>
                  <w:proofErr w:type="gramStart"/>
                  <w:r w:rsidRPr="00C530A2">
                    <w:rPr>
                      <w:color w:val="000001"/>
                      <w:sz w:val="18"/>
                      <w:szCs w:val="18"/>
                    </w:rPr>
            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            </w:r>
                  <w:proofErr w:type="spellStart"/>
                  <w:r w:rsidRPr="00C530A2">
                    <w:rPr>
                      <w:color w:val="000001"/>
                      <w:sz w:val="18"/>
                      <w:szCs w:val="18"/>
                    </w:rPr>
                    <w:t>пылегазоулавливающих</w:t>
                  </w:r>
                  <w:proofErr w:type="spellEnd"/>
                  <w:r w:rsidRPr="00C530A2">
                    <w:rPr>
                      <w:color w:val="000001"/>
                      <w:sz w:val="18"/>
                      <w:szCs w:val="18"/>
                    </w:rPr>
                    <w:t xml:space="preserve">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помещений. </w:t>
                  </w:r>
                  <w:proofErr w:type="gramEnd"/>
                </w:p>
                <w:p w:rsidR="00C530A2" w:rsidRPr="00C530A2" w:rsidRDefault="00C530A2" w:rsidP="00C530A2">
                  <w:pPr>
                    <w:pStyle w:val="FORMATTEXT"/>
                    <w:spacing w:before="100" w:beforeAutospacing="1"/>
                    <w:ind w:firstLine="284"/>
                    <w:jc w:val="both"/>
                    <w:rPr>
                      <w:color w:val="000001"/>
                      <w:sz w:val="18"/>
                      <w:szCs w:val="18"/>
                    </w:rPr>
                  </w:pPr>
                  <w:r w:rsidRPr="00C530A2">
                    <w:rPr>
                      <w:color w:val="000001"/>
                      <w:sz w:val="18"/>
                      <w:szCs w:val="18"/>
                    </w:rPr>
                    <w:t xml:space="preserve">16. 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нормами. </w:t>
                  </w:r>
                </w:p>
                <w:p w:rsidR="00C530A2" w:rsidRPr="00C530A2" w:rsidRDefault="00C530A2" w:rsidP="00C530A2">
                  <w:pPr>
                    <w:pStyle w:val="FORMATTEXT"/>
                    <w:spacing w:before="100" w:beforeAutospacing="1"/>
                    <w:ind w:firstLine="284"/>
                    <w:jc w:val="both"/>
                    <w:rPr>
                      <w:color w:val="000001"/>
                      <w:sz w:val="18"/>
                      <w:szCs w:val="18"/>
                    </w:rPr>
                  </w:pPr>
                  <w:r w:rsidRPr="00C530A2">
                    <w:rPr>
                      <w:color w:val="000001"/>
                      <w:sz w:val="18"/>
                      <w:szCs w:val="18"/>
                    </w:rPr>
                    <w:t xml:space="preserve">17. 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 </w:t>
                  </w:r>
                </w:p>
                <w:p w:rsidR="00C530A2" w:rsidRPr="00C530A2" w:rsidRDefault="00C530A2" w:rsidP="00C530A2">
                  <w:pPr>
                    <w:pStyle w:val="FORMATTEXT"/>
                    <w:spacing w:before="100" w:beforeAutospacing="1"/>
                    <w:ind w:firstLine="284"/>
                    <w:jc w:val="both"/>
                    <w:rPr>
                      <w:color w:val="000001"/>
                      <w:sz w:val="18"/>
                      <w:szCs w:val="18"/>
                    </w:rPr>
                  </w:pPr>
                  <w:r w:rsidRPr="00C530A2">
                    <w:rPr>
                      <w:color w:val="000001"/>
                      <w:sz w:val="18"/>
                      <w:szCs w:val="18"/>
                    </w:rPr>
                    <w:t xml:space="preserve">18. Приобретение и монтаж установок (автоматов) для обеспечения работников питьевой водой. </w:t>
                  </w:r>
                </w:p>
                <w:p w:rsidR="00C530A2" w:rsidRDefault="00C530A2" w:rsidP="00C530A2">
                  <w:pPr>
                    <w:pStyle w:val="FORMATTEXT"/>
                    <w:spacing w:before="100" w:beforeAutospacing="1"/>
                    <w:ind w:firstLine="284"/>
                    <w:jc w:val="both"/>
                    <w:rPr>
                      <w:color w:val="000001"/>
                      <w:sz w:val="18"/>
                      <w:szCs w:val="18"/>
                    </w:rPr>
                  </w:pPr>
                  <w:r w:rsidRPr="00C530A2">
                    <w:rPr>
                      <w:color w:val="000001"/>
                      <w:sz w:val="18"/>
                      <w:szCs w:val="18"/>
                    </w:rPr>
                    <w:t>19. Обеспечение в установленном порядке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смывающими</w:t>
                  </w:r>
                  <w:r>
                    <w:rPr>
                      <w:color w:val="000001"/>
                      <w:sz w:val="18"/>
                      <w:szCs w:val="18"/>
                    </w:rPr>
                    <w:t xml:space="preserve"> и обезвреживающими средствами.</w:t>
                  </w:r>
                </w:p>
                <w:p w:rsidR="00C530A2" w:rsidRPr="00C530A2" w:rsidRDefault="00C530A2" w:rsidP="00C530A2">
                  <w:pPr>
                    <w:pStyle w:val="FORMATTEXT"/>
                    <w:spacing w:before="100" w:beforeAutospacing="1"/>
                    <w:ind w:firstLine="284"/>
                    <w:jc w:val="both"/>
                    <w:rPr>
                      <w:color w:val="000001"/>
                      <w:sz w:val="18"/>
                      <w:szCs w:val="18"/>
                    </w:rPr>
                  </w:pPr>
                  <w:r w:rsidRPr="00C530A2">
                    <w:rPr>
                      <w:color w:val="000001"/>
                      <w:sz w:val="18"/>
                      <w:szCs w:val="18"/>
                    </w:rPr>
                    <w:t>20. </w:t>
                  </w:r>
                  <w:proofErr w:type="gramStart"/>
                  <w:r w:rsidRPr="00C530A2">
                    <w:rPr>
                      <w:color w:val="000001"/>
                      <w:sz w:val="18"/>
                      <w:szCs w:val="18"/>
                    </w:rPr>
                    <w:t xml:space="preserve">Обеспечение хранения средств индивидуальной защиты (далее – СИЗ), а также ухода за ними (своевременная химчистка, стирка, дегазация, дезактивация, дезинфекция, обезвреживание, </w:t>
                  </w:r>
                  <w:proofErr w:type="spellStart"/>
                  <w:r w:rsidRPr="00C530A2">
                    <w:rPr>
                      <w:color w:val="000001"/>
                      <w:sz w:val="18"/>
                      <w:szCs w:val="18"/>
                    </w:rPr>
                    <w:t>обеспыливание</w:t>
                  </w:r>
                  <w:proofErr w:type="spellEnd"/>
                  <w:r w:rsidRPr="00C530A2">
                    <w:rPr>
                      <w:color w:val="000001"/>
                      <w:sz w:val="18"/>
                      <w:szCs w:val="18"/>
                    </w:rPr>
                    <w:t xml:space="preserve">, сушка), проведение ремонта и замена СИЗ. </w:t>
                  </w:r>
                  <w:proofErr w:type="gramEnd"/>
                </w:p>
                <w:p w:rsidR="00C530A2" w:rsidRPr="00C530A2" w:rsidRDefault="00C530A2" w:rsidP="00C530A2">
                  <w:pPr>
                    <w:pStyle w:val="FORMATTEXT"/>
                    <w:spacing w:before="100" w:beforeAutospacing="1"/>
                    <w:ind w:firstLine="284"/>
                    <w:jc w:val="both"/>
                    <w:rPr>
                      <w:color w:val="000001"/>
                      <w:sz w:val="18"/>
                      <w:szCs w:val="18"/>
                    </w:rPr>
                  </w:pPr>
                </w:p>
                <w:p w:rsidR="00EB5496" w:rsidRPr="00C530A2" w:rsidRDefault="00EB5496" w:rsidP="00C530A2">
                  <w:pPr>
                    <w:spacing w:before="100" w:beforeAutospacing="1"/>
                    <w:ind w:firstLine="284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D4432B">
        <w:rPr>
          <w:noProof/>
          <w:lang w:eastAsia="ru-RU"/>
        </w:rPr>
        <w:pict>
          <v:rect id="_x0000_s1031" style="position:absolute;margin-left:-28.15pt;margin-top:9pt;width:843.85pt;height:41.45pt;z-index:251665408;mso-position-horizontal-relative:text;mso-position-vertical-relative:text" fillcolor="#8db3e2 [1311]" stroked="f"/>
        </w:pict>
      </w:r>
      <w:r w:rsidR="00CF5172" w:rsidRPr="00CF5172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-405702</wp:posOffset>
            </wp:positionH>
            <wp:positionV relativeFrom="paragraph">
              <wp:posOffset>-360045</wp:posOffset>
            </wp:positionV>
            <wp:extent cx="10803624" cy="7642747"/>
            <wp:effectExtent l="19050" t="0" r="0" b="0"/>
            <wp:wrapNone/>
            <wp:docPr id="14" name="Рисунок 3" descr="ф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3624" cy="7642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1F6B" w:rsidRPr="002C60C4" w:rsidSect="002C60C4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7D7F"/>
    <w:multiLevelType w:val="hybridMultilevel"/>
    <w:tmpl w:val="8B26A6D0"/>
    <w:lvl w:ilvl="0" w:tplc="C4E651C4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E40CEA"/>
    <w:multiLevelType w:val="hybridMultilevel"/>
    <w:tmpl w:val="2AF0BD9A"/>
    <w:lvl w:ilvl="0" w:tplc="E7844CA8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491F8A"/>
    <w:multiLevelType w:val="hybridMultilevel"/>
    <w:tmpl w:val="33E40CD0"/>
    <w:lvl w:ilvl="0" w:tplc="D144AFD0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7E7925"/>
    <w:multiLevelType w:val="hybridMultilevel"/>
    <w:tmpl w:val="BE320F56"/>
    <w:lvl w:ilvl="0" w:tplc="8CE25D28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4418B4"/>
    <w:multiLevelType w:val="hybridMultilevel"/>
    <w:tmpl w:val="B5620F28"/>
    <w:lvl w:ilvl="0" w:tplc="8D940D52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43A0D"/>
    <w:multiLevelType w:val="hybridMultilevel"/>
    <w:tmpl w:val="9CB076CA"/>
    <w:lvl w:ilvl="0" w:tplc="53A65EFC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A213E7"/>
    <w:multiLevelType w:val="hybridMultilevel"/>
    <w:tmpl w:val="4C421276"/>
    <w:lvl w:ilvl="0" w:tplc="CEE4859E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C46E25"/>
    <w:multiLevelType w:val="hybridMultilevel"/>
    <w:tmpl w:val="8A7E9340"/>
    <w:lvl w:ilvl="0" w:tplc="1512B558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7A752D"/>
    <w:multiLevelType w:val="hybridMultilevel"/>
    <w:tmpl w:val="0A5CB298"/>
    <w:lvl w:ilvl="0" w:tplc="0E7AC964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CA01E0"/>
    <w:multiLevelType w:val="hybridMultilevel"/>
    <w:tmpl w:val="1B8AC9AE"/>
    <w:lvl w:ilvl="0" w:tplc="C9B4BB9A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917F60"/>
    <w:multiLevelType w:val="hybridMultilevel"/>
    <w:tmpl w:val="B57C0F34"/>
    <w:lvl w:ilvl="0" w:tplc="47CCD374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5D55DC"/>
    <w:multiLevelType w:val="hybridMultilevel"/>
    <w:tmpl w:val="4B30E468"/>
    <w:lvl w:ilvl="0" w:tplc="1EE49ABE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F35FE8"/>
    <w:multiLevelType w:val="hybridMultilevel"/>
    <w:tmpl w:val="112898A8"/>
    <w:lvl w:ilvl="0" w:tplc="AEA21E82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1B31D7"/>
    <w:multiLevelType w:val="hybridMultilevel"/>
    <w:tmpl w:val="70224D50"/>
    <w:lvl w:ilvl="0" w:tplc="FF3C31A6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F21693"/>
    <w:multiLevelType w:val="hybridMultilevel"/>
    <w:tmpl w:val="9A02D104"/>
    <w:lvl w:ilvl="0" w:tplc="3942F09A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12"/>
  </w:num>
  <w:num w:numId="8">
    <w:abstractNumId w:val="14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  <w:num w:numId="13">
    <w:abstractNumId w:val="6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C60C4"/>
    <w:rsid w:val="00001F2F"/>
    <w:rsid w:val="0005700B"/>
    <w:rsid w:val="0007397B"/>
    <w:rsid w:val="001A408E"/>
    <w:rsid w:val="00252C19"/>
    <w:rsid w:val="002C60C4"/>
    <w:rsid w:val="003262F1"/>
    <w:rsid w:val="00326BEE"/>
    <w:rsid w:val="00356C5A"/>
    <w:rsid w:val="003C2D99"/>
    <w:rsid w:val="00417D67"/>
    <w:rsid w:val="00443217"/>
    <w:rsid w:val="00446062"/>
    <w:rsid w:val="00471ED5"/>
    <w:rsid w:val="00545DD7"/>
    <w:rsid w:val="00610D74"/>
    <w:rsid w:val="00671F6B"/>
    <w:rsid w:val="007F1EEF"/>
    <w:rsid w:val="0095736D"/>
    <w:rsid w:val="009F587B"/>
    <w:rsid w:val="00AE74F4"/>
    <w:rsid w:val="00B12659"/>
    <w:rsid w:val="00B57155"/>
    <w:rsid w:val="00BE0837"/>
    <w:rsid w:val="00C530A2"/>
    <w:rsid w:val="00C83636"/>
    <w:rsid w:val="00CF5172"/>
    <w:rsid w:val="00D4432B"/>
    <w:rsid w:val="00DA67F1"/>
    <w:rsid w:val="00DB4070"/>
    <w:rsid w:val="00DD0FEF"/>
    <w:rsid w:val="00E75D3A"/>
    <w:rsid w:val="00EB5496"/>
    <w:rsid w:val="00F1651C"/>
    <w:rsid w:val="00FC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6B"/>
  </w:style>
  <w:style w:type="paragraph" w:styleId="4">
    <w:name w:val="heading 4"/>
    <w:link w:val="40"/>
    <w:uiPriority w:val="9"/>
    <w:qFormat/>
    <w:rsid w:val="002C60C4"/>
    <w:pPr>
      <w:spacing w:after="0" w:line="240" w:lineRule="auto"/>
      <w:jc w:val="center"/>
      <w:outlineLvl w:val="3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C60C4"/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unhideWhenUsed/>
    <w:rsid w:val="002C60C4"/>
    <w:rPr>
      <w:color w:val="0000FF"/>
      <w:u w:val="single"/>
    </w:rPr>
  </w:style>
  <w:style w:type="paragraph" w:customStyle="1" w:styleId="ConsPlusTitle">
    <w:name w:val="ConsPlusTitle"/>
    <w:rsid w:val="002C60C4"/>
    <w:pPr>
      <w:spacing w:after="0" w:line="273" w:lineRule="auto"/>
    </w:pPr>
    <w:rPr>
      <w:rFonts w:ascii="Arial" w:eastAsia="Times New Roman" w:hAnsi="Arial" w:cs="Arial"/>
      <w:b/>
      <w:bCs/>
      <w:color w:val="000000"/>
      <w:kern w:val="28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0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6062"/>
    <w:pPr>
      <w:spacing w:after="0" w:line="273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visited">
    <w:name w:val="visited"/>
    <w:rsid w:val="00356C5A"/>
  </w:style>
  <w:style w:type="character" w:customStyle="1" w:styleId="apple-converted-space">
    <w:name w:val="apple-converted-space"/>
    <w:rsid w:val="00356C5A"/>
  </w:style>
  <w:style w:type="paragraph" w:styleId="a7">
    <w:name w:val="List Paragraph"/>
    <w:basedOn w:val="a"/>
    <w:uiPriority w:val="34"/>
    <w:qFormat/>
    <w:rsid w:val="00001F2F"/>
    <w:pPr>
      <w:ind w:left="720"/>
      <w:contextualSpacing/>
    </w:pPr>
  </w:style>
  <w:style w:type="paragraph" w:customStyle="1" w:styleId="FORMATTEXT">
    <w:name w:val=".FORMATTEXT"/>
    <w:uiPriority w:val="99"/>
    <w:rsid w:val="001A40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A40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Photographer</dc:creator>
  <cp:lastModifiedBy>Photographer</cp:lastModifiedBy>
  <cp:revision>2</cp:revision>
  <dcterms:created xsi:type="dcterms:W3CDTF">2013-12-10T08:39:00Z</dcterms:created>
  <dcterms:modified xsi:type="dcterms:W3CDTF">2013-12-10T08:39:00Z</dcterms:modified>
</cp:coreProperties>
</file>