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17 августа 2013 г. N 714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ПРАВИЛ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ЗАМЕНЫ УНИВЕРСАЛЬНЫХ ЭЛЕКТРОННЫХ КАРТ В СЛУЧАЕ ПОДКЛЮЧЕНИЯ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НОВЫХ ФЕДЕРАЛЬНЫХ ЭЛЕКТРОННЫХ ПРИЛОЖЕНИЙ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исполнение </w:t>
      </w:r>
      <w:hyperlink r:id="rId4" w:history="1">
        <w:r>
          <w:rPr>
            <w:rFonts w:cs="Times New Roman"/>
            <w:color w:val="0000FF"/>
            <w:szCs w:val="28"/>
          </w:rPr>
          <w:t>части 5 статьи 27</w:t>
        </w:r>
      </w:hyperlink>
      <w:r>
        <w:rPr>
          <w:rFonts w:cs="Times New Roman"/>
          <w:szCs w:val="28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прилагаемые </w:t>
      </w:r>
      <w:hyperlink w:anchor="Par26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замены универсальных электронных ка</w:t>
      </w:r>
      <w:proofErr w:type="gramStart"/>
      <w:r>
        <w:rPr>
          <w:rFonts w:cs="Times New Roman"/>
          <w:szCs w:val="28"/>
        </w:rPr>
        <w:t>рт в сл</w:t>
      </w:r>
      <w:proofErr w:type="gramEnd"/>
      <w:r>
        <w:rPr>
          <w:rFonts w:cs="Times New Roman"/>
          <w:szCs w:val="28"/>
        </w:rPr>
        <w:t>учае подключения новых федеральных электронных приложений.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1"/>
      <w:bookmarkEnd w:id="1"/>
      <w:r>
        <w:rPr>
          <w:rFonts w:cs="Times New Roman"/>
          <w:szCs w:val="28"/>
        </w:rPr>
        <w:t>Утверждены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17 августа 2013 г. N 714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26"/>
      <w:bookmarkEnd w:id="2"/>
      <w:r>
        <w:rPr>
          <w:rFonts w:cs="Times New Roman"/>
          <w:b/>
          <w:bCs/>
          <w:szCs w:val="28"/>
        </w:rPr>
        <w:t>ПРАВИЛА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ЗАМЕНЫ УНИВЕРСАЛЬНЫХ ЭЛЕКТРОННЫХ КАРТ В СЛУЧАЕ ПОДКЛЮЧЕНИЯ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НОВЫХ ФЕДЕРАЛЬНЫХ ЭЛЕКТРОННЫХ ПРИЛОЖЕНИЙ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Настоящие Правила устанавливают порядок замены универсальных электронных карт в случае подключения иных федеральных электронных приложений, помимо указанных в </w:t>
      </w:r>
      <w:hyperlink r:id="rId5" w:history="1">
        <w:r>
          <w:rPr>
            <w:rFonts w:cs="Times New Roman"/>
            <w:color w:val="0000FF"/>
            <w:szCs w:val="28"/>
          </w:rPr>
          <w:t>части 5 статьи 23</w:t>
        </w:r>
      </w:hyperlink>
      <w:r>
        <w:rPr>
          <w:rFonts w:cs="Times New Roman"/>
          <w:szCs w:val="28"/>
        </w:rPr>
        <w:t xml:space="preserve"> Федерального закона "Об организации предоставления государственных и муниципальных услуг" (далее соответственно - Федеральный закон, новые федеральные электронные приложения).</w:t>
      </w:r>
      <w:proofErr w:type="gramEnd"/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Утверждение предусмотренного </w:t>
      </w:r>
      <w:hyperlink r:id="rId6" w:history="1">
        <w:r>
          <w:rPr>
            <w:rFonts w:cs="Times New Roman"/>
            <w:color w:val="0000FF"/>
            <w:szCs w:val="28"/>
          </w:rPr>
          <w:t>частью 6 статьи 23</w:t>
        </w:r>
      </w:hyperlink>
      <w:r>
        <w:rPr>
          <w:rFonts w:cs="Times New Roman"/>
          <w:szCs w:val="28"/>
        </w:rPr>
        <w:t xml:space="preserve"> Федерального закона перечня иных федеральных электронных приложений, которые должна иметь универсальная электронная карта, и внесение в него изменений, предусматривающих включение новых федеральных электронных приложений, </w:t>
      </w:r>
      <w:r>
        <w:rPr>
          <w:rFonts w:cs="Times New Roman"/>
          <w:szCs w:val="28"/>
        </w:rPr>
        <w:lastRenderedPageBreak/>
        <w:t>являются основанием для замены универсальной электронной карты, осуществляемой по заявлению пользователя указанной карты.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Замена универсальных электронных карт в случае подключения новых федеральных электронных приложений осуществляется при отсутствии возможности удаленного подключения, записи и обновления федерального электронного приложения в соответствии с техническими </w:t>
      </w:r>
      <w:hyperlink r:id="rId7" w:history="1">
        <w:r>
          <w:rPr>
            <w:rFonts w:cs="Times New Roman"/>
            <w:color w:val="0000FF"/>
            <w:szCs w:val="28"/>
          </w:rPr>
          <w:t>требованиями</w:t>
        </w:r>
      </w:hyperlink>
      <w:r>
        <w:rPr>
          <w:rFonts w:cs="Times New Roman"/>
          <w:szCs w:val="28"/>
        </w:rPr>
        <w:t xml:space="preserve"> к универсальной электронной карте, техническими </w:t>
      </w:r>
      <w:hyperlink r:id="rId8" w:history="1">
        <w:r>
          <w:rPr>
            <w:rFonts w:cs="Times New Roman"/>
            <w:color w:val="0000FF"/>
            <w:szCs w:val="28"/>
          </w:rPr>
          <w:t>требованиями</w:t>
        </w:r>
      </w:hyperlink>
      <w:r>
        <w:rPr>
          <w:rFonts w:cs="Times New Roman"/>
          <w:szCs w:val="28"/>
        </w:rPr>
        <w:t xml:space="preserve"> к федеральным электронным приложениям и правилами работы с содержащимися в них сведениями, утвержденными постановлением Правительства Российской Федерации от 24 марта 2011 г. N 208.</w:t>
      </w:r>
      <w:proofErr w:type="gramEnd"/>
      <w:r>
        <w:rPr>
          <w:rFonts w:cs="Times New Roman"/>
          <w:szCs w:val="28"/>
        </w:rPr>
        <w:t xml:space="preserve"> Возможность удаленного подключения, записи и обновления федерального электронного приложения определяется комиссией Министерства экономического развития Российской Федерации, сформированной в соответствии с </w:t>
      </w:r>
      <w:hyperlink r:id="rId9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постановления Правительства Российской Федерации от 22 июля 2011 г. N 613 "О разработке, подключении и функционировании федеральных электронных приложений, за исключением электронного банковского приложения".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33"/>
      <w:bookmarkEnd w:id="3"/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 xml:space="preserve">Для замены универсальной электронной карты в случае подключения новых федеральных электронных приложений пользователь универсальной электронной карты (далее - пользователь) подает заявление о выдаче универсальной электронной карты в связи с подключением новых федеральных электронных приложений в соответствии с типовой формой заявления о выдаче универсальной электронной карты, утвержденной на основании положений </w:t>
      </w:r>
      <w:hyperlink r:id="rId10" w:history="1">
        <w:r>
          <w:rPr>
            <w:rFonts w:cs="Times New Roman"/>
            <w:color w:val="0000FF"/>
            <w:szCs w:val="28"/>
          </w:rPr>
          <w:t>части 5 статьи 25</w:t>
        </w:r>
      </w:hyperlink>
      <w:r>
        <w:rPr>
          <w:rFonts w:cs="Times New Roman"/>
          <w:szCs w:val="28"/>
        </w:rPr>
        <w:t xml:space="preserve"> Федерального закона.</w:t>
      </w:r>
      <w:proofErr w:type="gramEnd"/>
      <w:r>
        <w:rPr>
          <w:rFonts w:cs="Times New Roman"/>
          <w:szCs w:val="28"/>
        </w:rPr>
        <w:t xml:space="preserve"> Порядок подачи пользователем указанного заявления определяется в соответствии с </w:t>
      </w:r>
      <w:hyperlink r:id="rId11" w:history="1">
        <w:r>
          <w:rPr>
            <w:rFonts w:cs="Times New Roman"/>
            <w:color w:val="0000FF"/>
            <w:szCs w:val="28"/>
          </w:rPr>
          <w:t>частью 4 статьи 27</w:t>
        </w:r>
      </w:hyperlink>
      <w:r>
        <w:rPr>
          <w:rFonts w:cs="Times New Roman"/>
          <w:szCs w:val="28"/>
        </w:rPr>
        <w:t xml:space="preserve"> Федерального закона.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Выпуск вновь изготавливаемой универсальной электронной карты осуществляется в порядке, установленном </w:t>
      </w:r>
      <w:hyperlink r:id="rId12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выпуска универсальной электронной карты, утвержденными постановлением Правительства Российской Федерации от 25 апреля 2011 г. N 321. При этом изготовление универсальной электронной карты осуществляется без проверки наличия у пользователя действующей универсальной электронной карты.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Выдача универсальных электронных карт осуществляется в 30-дневный срок со дня подачи пользователем заявления, предусмотренного </w:t>
      </w:r>
      <w:hyperlink w:anchor="Par33" w:history="1">
        <w:r>
          <w:rPr>
            <w:rFonts w:cs="Times New Roman"/>
            <w:color w:val="0000FF"/>
            <w:szCs w:val="28"/>
          </w:rPr>
          <w:t>пунктом 4</w:t>
        </w:r>
      </w:hyperlink>
      <w:r>
        <w:rPr>
          <w:rFonts w:cs="Times New Roman"/>
          <w:szCs w:val="28"/>
        </w:rPr>
        <w:t xml:space="preserve"> настоящих Правил. Ранее выданная пользователю универсальная электронная карта подлежит аннулированию в том же порядке, который установлен в соответствии с </w:t>
      </w:r>
      <w:hyperlink r:id="rId13" w:history="1">
        <w:r>
          <w:rPr>
            <w:rFonts w:cs="Times New Roman"/>
            <w:color w:val="0000FF"/>
            <w:szCs w:val="28"/>
          </w:rPr>
          <w:t>частью 10 статьи 26</w:t>
        </w:r>
      </w:hyperlink>
      <w:r>
        <w:rPr>
          <w:rFonts w:cs="Times New Roman"/>
          <w:szCs w:val="28"/>
        </w:rPr>
        <w:t xml:space="preserve"> Федерального закона для аннулирования универсальной электронной карты в случае отказа гражданина от ее использования.</w:t>
      </w: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62477" w:rsidRDefault="00962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62477" w:rsidRDefault="009624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6132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2477"/>
    <w:rsid w:val="00382B99"/>
    <w:rsid w:val="007A4ED0"/>
    <w:rsid w:val="0096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BB712B018711DD55D2D3AF6210CF178AB23456B135C6354E2B128A5F252E29EB21F9E5B501D0Ft2RBK" TargetMode="External"/><Relationship Id="rId13" Type="http://schemas.openxmlformats.org/officeDocument/2006/relationships/hyperlink" Target="consultantplus://offline/ref=668BB712B018711DD55D2D3AF6210CF178AF274561105C6354E2B128A5F252E29EB21F9E5B501F0Dt2R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8BB712B018711DD55D2D3AF6210CF178AB23456B135C6354E2B128A5F252E29EB21F9E5B501D09t2RBK" TargetMode="External"/><Relationship Id="rId12" Type="http://schemas.openxmlformats.org/officeDocument/2006/relationships/hyperlink" Target="consultantplus://offline/ref=668BB712B018711DD55D2D3AF6210CF178AB224067115C6354E2B128A5F252E29EB21F9E5B501D09t2R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8BB712B018711DD55D2D3AF6210CF178AF274561105C6354E2B128A5F252E29EB21F9E5B501F0At2RCK" TargetMode="External"/><Relationship Id="rId11" Type="http://schemas.openxmlformats.org/officeDocument/2006/relationships/hyperlink" Target="consultantplus://offline/ref=668BB712B018711DD55D2D3AF6210CF178AF274561105C6354E2B128A5F252E29EB21F9E5B501F0Et2R9K" TargetMode="External"/><Relationship Id="rId5" Type="http://schemas.openxmlformats.org/officeDocument/2006/relationships/hyperlink" Target="consultantplus://offline/ref=668BB712B018711DD55D2D3AF6210CF178AF274561105C6354E2B128A5F252E29EB21F9E5B501F09t2RB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8BB712B018711DD55D2D3AF6210CF178AF274561105C6354E2B128A5F252E29EB21F9E5B501F0Ct2RBK" TargetMode="External"/><Relationship Id="rId4" Type="http://schemas.openxmlformats.org/officeDocument/2006/relationships/hyperlink" Target="consultantplus://offline/ref=668BB712B018711DD55D2D3AF6210CF178AF274561105C6354E2B128A5F252E29EB21F9E5B501F0Et2R8K" TargetMode="External"/><Relationship Id="rId9" Type="http://schemas.openxmlformats.org/officeDocument/2006/relationships/hyperlink" Target="consultantplus://offline/ref=668BB712B018711DD55D2D3AF6210CF178AB26476A125C6354E2B128A5F252E29EB21F9E5B501D08t2R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2014-06-03T10:17:00Z</dcterms:created>
  <dcterms:modified xsi:type="dcterms:W3CDTF">2014-06-03T10:17:00Z</dcterms:modified>
</cp:coreProperties>
</file>