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Доклад о деятельности и развитии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социально ориентированных некоммерческих организаций </w:t>
      </w:r>
    </w:p>
    <w:p w14:paraId="04000000">
      <w:pPr>
        <w:pStyle w:val="Style_2"/>
        <w:spacing w:after="0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в Российской Федерации </w:t>
      </w:r>
      <w:r>
        <w:rPr>
          <w:b w:val="1"/>
          <w:sz w:val="28"/>
        </w:rPr>
        <w:t>за 202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год</w:t>
      </w:r>
    </w:p>
    <w:p w14:paraId="05000000">
      <w:pPr>
        <w:pStyle w:val="Style_2"/>
        <w:spacing w:after="0" w:line="360" w:lineRule="auto"/>
        <w:ind w:firstLine="709" w:left="0"/>
        <w:jc w:val="both"/>
        <w:rPr>
          <w:sz w:val="28"/>
        </w:rPr>
      </w:pPr>
    </w:p>
    <w:p w14:paraId="06000000">
      <w:pPr>
        <w:pStyle w:val="Style_2"/>
        <w:spacing w:after="0"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Настоящий доклад подготовлен в соответствии </w:t>
      </w:r>
      <w:r>
        <w:rPr>
          <w:sz w:val="28"/>
        </w:rPr>
        <w:t>со статьей 31.3 Федерального закона от 12 января 1996 г. № 7-ФЗ «О некоммерческих организациях»</w:t>
      </w:r>
      <w:r>
        <w:rPr>
          <w:sz w:val="28"/>
        </w:rPr>
        <w:t>.</w:t>
      </w:r>
    </w:p>
    <w:p w14:paraId="07000000">
      <w:pPr>
        <w:pStyle w:val="Style_2"/>
        <w:spacing w:after="0"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Данные по разделам 2, 3, </w:t>
      </w:r>
      <w:r>
        <w:rPr>
          <w:sz w:val="28"/>
        </w:rPr>
        <w:t xml:space="preserve">4, </w:t>
      </w:r>
      <w:r>
        <w:rPr>
          <w:sz w:val="28"/>
        </w:rPr>
        <w:t>5, 6, 7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 xml:space="preserve">доклада в части оказания мер государственной поддержки </w:t>
      </w:r>
      <w:r>
        <w:rPr>
          <w:sz w:val="28"/>
        </w:rPr>
        <w:t>социально ориентированных некоммерческих организаций (</w:t>
      </w:r>
      <w:r>
        <w:rPr>
          <w:sz w:val="28"/>
        </w:rPr>
        <w:t>СОНКО</w:t>
      </w:r>
      <w:r>
        <w:rPr>
          <w:sz w:val="28"/>
        </w:rPr>
        <w:t>)</w:t>
      </w:r>
      <w:r>
        <w:rPr>
          <w:sz w:val="28"/>
        </w:rPr>
        <w:t xml:space="preserve"> на региональном и му</w:t>
      </w:r>
      <w:r>
        <w:rPr>
          <w:sz w:val="28"/>
        </w:rPr>
        <w:t>ниципальном уровне представл</w:t>
      </w:r>
      <w:r>
        <w:rPr>
          <w:sz w:val="28"/>
        </w:rPr>
        <w:t>ены</w:t>
      </w:r>
      <w:bookmarkStart w:id="1" w:name="_GoBack"/>
      <w:bookmarkEnd w:id="1"/>
      <w:r>
        <w:rPr>
          <w:sz w:val="28"/>
        </w:rPr>
        <w:br/>
      </w:r>
      <w:r>
        <w:rPr>
          <w:sz w:val="28"/>
        </w:rPr>
        <w:t>по 85</w:t>
      </w:r>
      <w:r>
        <w:rPr>
          <w:sz w:val="28"/>
        </w:rPr>
        <w:t xml:space="preserve"> регион</w:t>
      </w:r>
      <w:r>
        <w:rPr>
          <w:sz w:val="28"/>
        </w:rPr>
        <w:t>ам</w:t>
      </w:r>
      <w:r>
        <w:rPr>
          <w:sz w:val="28"/>
        </w:rPr>
        <w:t xml:space="preserve"> Российской Ф</w:t>
      </w:r>
      <w:r>
        <w:rPr>
          <w:sz w:val="28"/>
        </w:rPr>
        <w:t>едерации</w:t>
      </w:r>
      <w:r>
        <w:rPr>
          <w:sz w:val="28"/>
        </w:rPr>
        <w:t>.</w:t>
      </w:r>
    </w:p>
    <w:p w14:paraId="08000000">
      <w:pPr>
        <w:pStyle w:val="Style_3"/>
        <w:numPr>
          <w:ilvl w:val="0"/>
          <w:numId w:val="1"/>
        </w:numPr>
        <w:spacing w:after="360" w:before="360"/>
        <w:ind w:hanging="357" w:left="714"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 xml:space="preserve">Нормативно-правовое регулирование деятельности </w:t>
      </w:r>
      <w:r>
        <w:rPr>
          <w:b w:val="1"/>
          <w:sz w:val="28"/>
        </w:rPr>
        <w:t>СОНКО</w:t>
      </w:r>
      <w:r>
        <w:rPr>
          <w:b w:val="1"/>
          <w:sz w:val="28"/>
        </w:rPr>
        <w:t xml:space="preserve"> в 2022</w:t>
      </w:r>
      <w:r>
        <w:rPr>
          <w:b w:val="1"/>
          <w:sz w:val="28"/>
        </w:rPr>
        <w:t xml:space="preserve"> год</w:t>
      </w:r>
      <w:r>
        <w:rPr>
          <w:b w:val="1"/>
          <w:sz w:val="28"/>
        </w:rPr>
        <w:t>у</w:t>
      </w:r>
    </w:p>
    <w:p w14:paraId="09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2022 </w:t>
      </w:r>
      <w:r>
        <w:rPr>
          <w:rFonts w:ascii="Times New Roman" w:hAnsi="Times New Roman"/>
          <w:sz w:val="28"/>
        </w:rPr>
        <w:t xml:space="preserve">г. продолжена работа по </w:t>
      </w:r>
      <w:r>
        <w:rPr>
          <w:rFonts w:ascii="Times New Roman" w:hAnsi="Times New Roman"/>
          <w:sz w:val="28"/>
        </w:rPr>
        <w:t>совершенствованию</w:t>
      </w:r>
      <w:r>
        <w:rPr>
          <w:rFonts w:ascii="Times New Roman" w:hAnsi="Times New Roman"/>
          <w:sz w:val="28"/>
        </w:rPr>
        <w:t xml:space="preserve"> нормативно-правовой базы, направленн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на расширение участия негосударственного сектора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предоставлении услуг в социальной сфере, </w:t>
      </w:r>
      <w:r>
        <w:rPr>
          <w:rFonts w:ascii="Times New Roman" w:hAnsi="Times New Roman"/>
          <w:sz w:val="28"/>
        </w:rPr>
        <w:t>регулирование</w:t>
      </w:r>
      <w:r>
        <w:rPr>
          <w:rFonts w:ascii="Times New Roman" w:hAnsi="Times New Roman"/>
          <w:sz w:val="28"/>
        </w:rPr>
        <w:t xml:space="preserve"> деятельности некоммерческих организаций (НКО), </w:t>
      </w:r>
      <w:r>
        <w:rPr>
          <w:rFonts w:ascii="Times New Roman" w:hAnsi="Times New Roman"/>
          <w:sz w:val="28"/>
        </w:rPr>
        <w:t>расширение перечня</w:t>
      </w:r>
      <w:r>
        <w:rPr>
          <w:rFonts w:ascii="Times New Roman" w:hAnsi="Times New Roman"/>
          <w:sz w:val="28"/>
        </w:rPr>
        <w:t xml:space="preserve"> мер поддержки некоммерческого сектора.</w:t>
      </w:r>
    </w:p>
    <w:p w14:paraId="0A000000">
      <w:pPr>
        <w:spacing w:after="0" w:line="36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целях уточнения порядка ведения реестра СОНКО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>сформированного в соответствии с постановлением Правительства Российской Федерации от 30 июля 2021 г. № 1290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реестр СОНКО),</w:t>
      </w:r>
      <w:r>
        <w:rPr>
          <w:rFonts w:ascii="Times New Roman" w:hAnsi="Times New Roman"/>
          <w:color w:val="000000"/>
          <w:sz w:val="28"/>
        </w:rPr>
        <w:t xml:space="preserve"> принято постановление Правительства Российской Федерации «О внесении изменений в постановление Правительства Российской Федерации от 30 июля 2021 г. № 1290» от 30 ноября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2022 г. № 2191, </w:t>
      </w:r>
      <w:r>
        <w:rPr>
          <w:rFonts w:ascii="Times New Roman" w:hAnsi="Times New Roman"/>
          <w:color w:val="000000"/>
          <w:sz w:val="28"/>
        </w:rPr>
        <w:t xml:space="preserve">а также </w:t>
      </w:r>
      <w:r>
        <w:rPr>
          <w:rFonts w:ascii="Times New Roman" w:hAnsi="Times New Roman"/>
          <w:color w:val="000000"/>
          <w:sz w:val="28"/>
        </w:rPr>
        <w:t xml:space="preserve">издан приказ Минэкономразвития России от 14 октября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2022 г. № 559 «Об утверждении требований к формату представляемых сведений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 некоммерческих организациях для включения в реестр социально ориентированных некоммерческих организаций».</w:t>
      </w:r>
    </w:p>
    <w:p w14:paraId="0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6282F"/>
          <w:sz w:val="28"/>
        </w:rPr>
        <w:t>В</w:t>
      </w:r>
      <w:r>
        <w:rPr>
          <w:rFonts w:ascii="Times New Roman" w:hAnsi="Times New Roman"/>
          <w:color w:val="26282F"/>
          <w:sz w:val="28"/>
        </w:rPr>
        <w:t xml:space="preserve"> рамках исполнения Плана мероприятий по реализации в 2021-2022 годах Концепции </w:t>
      </w:r>
      <w:r>
        <w:rPr>
          <w:rFonts w:ascii="Times New Roman" w:hAnsi="Times New Roman"/>
          <w:sz w:val="28"/>
        </w:rPr>
        <w:t xml:space="preserve">содействия развитию благотворительной деятельности в Российской Федерации, утвержденного поручением Правительства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13 июля 2021 г. № 7393п-П44,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color w:val="26282F"/>
          <w:sz w:val="28"/>
        </w:rPr>
        <w:t xml:space="preserve"> </w:t>
      </w:r>
      <w:r>
        <w:rPr>
          <w:rFonts w:ascii="Times New Roman" w:hAnsi="Times New Roman"/>
          <w:color w:val="26282F"/>
          <w:sz w:val="28"/>
        </w:rPr>
        <w:t>целях совершенствования работы фондов целевого капитала некоммерческих организаций разраб</w:t>
      </w:r>
      <w:r>
        <w:rPr>
          <w:rFonts w:ascii="Times New Roman" w:hAnsi="Times New Roman"/>
          <w:color w:val="26282F"/>
          <w:sz w:val="28"/>
        </w:rPr>
        <w:t>атывается</w:t>
      </w:r>
      <w:r>
        <w:rPr>
          <w:rFonts w:ascii="Times New Roman" w:hAnsi="Times New Roman"/>
          <w:color w:val="26282F"/>
          <w:sz w:val="28"/>
        </w:rPr>
        <w:t xml:space="preserve"> проект федерального закона </w:t>
      </w:r>
      <w:r>
        <w:rPr>
          <w:rFonts w:ascii="Times New Roman" w:hAnsi="Times New Roman"/>
          <w:sz w:val="28"/>
        </w:rPr>
        <w:t xml:space="preserve">«О внесении изменений в Федеральный закон «О порядке формирования и использования целевого капитала некоммерческих организаций» и в статью 4 Федерального закона «Об аудиторской деятельности»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законопроект). Законопроектом предлагается внести изменения, направленные на повышение эффективности органов управления фондов целевых капиталов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уточнение норм, относящихся к их финансовой деятельности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уточнение норм, касающихся проведения аудита фондов </w:t>
      </w:r>
      <w:r>
        <w:rPr>
          <w:rFonts w:ascii="Times New Roman" w:hAnsi="Times New Roman"/>
          <w:sz w:val="28"/>
        </w:rPr>
        <w:t xml:space="preserve">целевых капиталов. </w:t>
      </w:r>
    </w:p>
    <w:p w14:paraId="0C000000">
      <w:pPr>
        <w:spacing w:after="0" w:line="360" w:lineRule="auto"/>
        <w:ind w:firstLine="709" w:left="0"/>
        <w:jc w:val="both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 xml:space="preserve">  Кроме того, в целях сохранения действующих фондов целевых капиталов</w:t>
      </w:r>
      <w:r>
        <w:rPr>
          <w:rFonts w:ascii="Times New Roman" w:hAnsi="Times New Roman"/>
          <w:color w:val="26282F"/>
          <w:sz w:val="28"/>
        </w:rPr>
        <w:br/>
      </w:r>
      <w:r>
        <w:rPr>
          <w:rFonts w:ascii="Times New Roman" w:hAnsi="Times New Roman"/>
          <w:color w:val="26282F"/>
          <w:sz w:val="28"/>
        </w:rPr>
        <w:t>и обеспечения их стабильности в условиях кризисной ситуации, обусловленной негативным влиянием антироссийских санкций на деятельность НКО, принят Федеральный закон от 14 июля 2022 г. № 279-ФЗ «О внесении изменений в отдельные законодательные акты Российской Федерации и о приостановлении действия отдельных положений Федерального закона «О порядке формирования</w:t>
      </w:r>
      <w:r>
        <w:rPr>
          <w:rFonts w:ascii="Times New Roman" w:hAnsi="Times New Roman"/>
          <w:color w:val="26282F"/>
          <w:sz w:val="28"/>
        </w:rPr>
        <w:br/>
      </w:r>
      <w:r>
        <w:rPr>
          <w:rFonts w:ascii="Times New Roman" w:hAnsi="Times New Roman"/>
          <w:color w:val="26282F"/>
          <w:sz w:val="28"/>
        </w:rPr>
        <w:t>и использования целевого капитала некоммерческих организаций» (далее – Федеральный закон № 279-ФЗ), который направлен на предоставление возможности фондам целевого капитала сохранить административно-управленческий персонал и не расформировывать фонд целевого капитала при снижении объема чистых активов.</w:t>
      </w:r>
    </w:p>
    <w:p w14:paraId="0D000000">
      <w:pPr>
        <w:spacing w:after="0" w:line="360" w:lineRule="auto"/>
        <w:ind w:firstLine="709" w:left="0"/>
        <w:jc w:val="both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Нормы, предусмотренные Федеральным</w:t>
      </w:r>
      <w:r>
        <w:rPr>
          <w:rFonts w:ascii="Times New Roman" w:hAnsi="Times New Roman"/>
          <w:color w:val="26282F"/>
          <w:sz w:val="28"/>
        </w:rPr>
        <w:t xml:space="preserve"> закон</w:t>
      </w:r>
      <w:r>
        <w:rPr>
          <w:rFonts w:ascii="Times New Roman" w:hAnsi="Times New Roman"/>
          <w:color w:val="26282F"/>
          <w:sz w:val="28"/>
        </w:rPr>
        <w:t>ом № 279-ФЗ, позволяю</w:t>
      </w:r>
      <w:r>
        <w:rPr>
          <w:rFonts w:ascii="Times New Roman" w:hAnsi="Times New Roman"/>
          <w:color w:val="26282F"/>
          <w:sz w:val="28"/>
        </w:rPr>
        <w:t xml:space="preserve">т: </w:t>
      </w:r>
    </w:p>
    <w:p w14:paraId="0E000000">
      <w:pPr>
        <w:spacing w:after="0" w:line="360" w:lineRule="auto"/>
        <w:ind w:firstLine="709" w:left="0"/>
        <w:jc w:val="both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 xml:space="preserve">сохранить целевой капитал, если стоимость чистых активов в результате доверительного управления имуществом, составляющим целевой капитал, снизилась по результатам 3-х отчетных лет более чем на 30 % или по результатам одного отчетного года более чем на 50 %; </w:t>
      </w:r>
    </w:p>
    <w:p w14:paraId="0F000000">
      <w:pPr>
        <w:spacing w:after="0" w:line="360" w:lineRule="auto"/>
        <w:ind w:firstLine="709" w:left="0"/>
        <w:jc w:val="both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 xml:space="preserve">не требовать от организации-собственника целевого капитала обязательного использования дохода от целевого капитала в размере не менее 25% в течение трех лет от доверительного управления имуществом, составляющим целевой капитал; </w:t>
      </w:r>
    </w:p>
    <w:p w14:paraId="10000000">
      <w:pPr>
        <w:spacing w:after="0" w:line="360" w:lineRule="auto"/>
        <w:ind w:firstLine="709" w:left="0"/>
        <w:jc w:val="both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увеличить в два раза предельный размер денежных средств, которые могут быть использованы специализированным фондом управления целевым капиталом</w:t>
      </w:r>
      <w:r>
        <w:rPr>
          <w:rFonts w:ascii="Times New Roman" w:hAnsi="Times New Roman"/>
          <w:color w:val="26282F"/>
          <w:sz w:val="28"/>
        </w:rPr>
        <w:br/>
      </w:r>
      <w:r>
        <w:rPr>
          <w:rFonts w:ascii="Times New Roman" w:hAnsi="Times New Roman"/>
          <w:color w:val="26282F"/>
          <w:sz w:val="28"/>
        </w:rPr>
        <w:t>на административно-управленческие расходы;</w:t>
      </w:r>
    </w:p>
    <w:p w14:paraId="11000000">
      <w:pPr>
        <w:spacing w:after="0" w:line="360" w:lineRule="auto"/>
        <w:ind w:firstLine="709" w:left="0"/>
        <w:jc w:val="both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 xml:space="preserve">предоставить возможность специализированным организациям использовать на административно-управленческие расходы не более 1 % от среднегодовой </w:t>
      </w:r>
      <w:r>
        <w:rPr>
          <w:rFonts w:ascii="Times New Roman" w:hAnsi="Times New Roman"/>
          <w:color w:val="26282F"/>
          <w:sz w:val="28"/>
        </w:rPr>
        <w:t>стоимости чистых активов, находящихся в доверительном управлении управляющей компании, что поддержит функционирование специализированной организации-собственника целевого капитала с минимальными финансовыми потерями для фонда.</w:t>
      </w:r>
    </w:p>
    <w:p w14:paraId="12000000">
      <w:pPr>
        <w:spacing w:after="0" w:line="360" w:lineRule="auto"/>
        <w:ind w:firstLine="709" w:left="0"/>
        <w:jc w:val="both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Указанные изменения носят антикризисный характер и действуют</w:t>
      </w:r>
      <w:r>
        <w:rPr>
          <w:rFonts w:ascii="Times New Roman" w:hAnsi="Times New Roman"/>
          <w:color w:val="26282F"/>
          <w:sz w:val="28"/>
        </w:rPr>
        <w:br/>
      </w:r>
      <w:r>
        <w:rPr>
          <w:rFonts w:ascii="Times New Roman" w:hAnsi="Times New Roman"/>
          <w:color w:val="26282F"/>
          <w:sz w:val="28"/>
        </w:rPr>
        <w:t>до 1 января 2026 года.</w:t>
      </w:r>
    </w:p>
    <w:p w14:paraId="1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поддержки юридических лиц, в том числе СО</w:t>
      </w:r>
      <w:r>
        <w:rPr>
          <w:rFonts w:ascii="Times New Roman" w:hAnsi="Times New Roman"/>
          <w:sz w:val="28"/>
        </w:rPr>
        <w:t xml:space="preserve">НКО, </w:t>
      </w: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(далее – постановление № 336) в 2022 году </w:t>
      </w:r>
      <w:r>
        <w:rPr>
          <w:rFonts w:ascii="Times New Roman" w:hAnsi="Times New Roman"/>
          <w:sz w:val="28"/>
        </w:rPr>
        <w:t>были отменены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контрольны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(надзорны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) мероприяти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;</w:t>
      </w:r>
    </w:p>
    <w:p w14:paraId="15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провер</w:t>
      </w:r>
      <w:r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при осуществлении видов государственного контроля (надзора), муниципального контроля.</w:t>
      </w:r>
    </w:p>
    <w:p w14:paraId="1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допуска</w:t>
      </w:r>
      <w:r>
        <w:rPr>
          <w:rFonts w:ascii="Times New Roman" w:hAnsi="Times New Roman"/>
          <w:sz w:val="28"/>
        </w:rPr>
        <w:t>лось</w:t>
      </w:r>
      <w:r>
        <w:rPr>
          <w:rFonts w:ascii="Times New Roman" w:hAnsi="Times New Roman"/>
          <w:sz w:val="28"/>
        </w:rPr>
        <w:t xml:space="preserve"> проведение запланированных на 2022 год плановых контрольных (надзорных) мероприятий, в том числе в рамках федерального государственного санитарно-эпидемиологического контроля (надзора) объектов контроля, отнесенных к категориям чрезвычайно высокого риска, или федерального государственного пожарного надзора объектов контроля, отнесенных к категориям чрезвычайно высокого риска, высокого риска. Постановлением № 336 также предусмотрены основания для проведения внеплановых проверок в 2022 году.</w:t>
      </w:r>
    </w:p>
    <w:p w14:paraId="1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5 апреля 2022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590 «О внесении изменений в общие требования к нормативным правовым актам, муниципальным правовым актам, регулирующим предоставление субсидий,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 и субсидий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из федерального бюджета бюджетам субъектов Российской Федерации в 2022 году» предусмотрено смягчение требований в рамках предоставления государственных субсидий и грантов СОНКО в 2022 году, в том числе: </w:t>
      </w:r>
    </w:p>
    <w:p w14:paraId="1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сокращения срока окончания приема заявок участников отбора получателей субсидии (гранта) для предоставления субсидий до 10 календарных дней;</w:t>
      </w:r>
    </w:p>
    <w:p w14:paraId="1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допускается наличие неисполненной обязанности по уплате налогов, сборов, страховых взносов, пеней, штрафов, процентов, подлежащих уплате,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превышающая 300 тыс. рублей;</w:t>
      </w:r>
    </w:p>
    <w:p w14:paraId="1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устанавливается возможность корректировки целевых показателей и сроков достижения результатов предоставления субсидии (гранта), предусмотренных условиями предоставления субсидии (гранта);</w:t>
      </w:r>
    </w:p>
    <w:p w14:paraId="1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устанавливается неприменение штрафных санкций.</w:t>
      </w:r>
    </w:p>
    <w:p w14:paraId="1C000000">
      <w:pPr>
        <w:pStyle w:val="Style_3"/>
        <w:spacing w:after="0" w:before="0" w:line="360" w:lineRule="auto"/>
        <w:ind w:firstLine="708" w:left="0"/>
        <w:jc w:val="both"/>
        <w:rPr>
          <w:color w:val="1A1A1A"/>
          <w:sz w:val="28"/>
        </w:rPr>
      </w:pPr>
      <w:r>
        <w:rPr>
          <w:color w:val="000000"/>
          <w:sz w:val="28"/>
        </w:rPr>
        <w:t xml:space="preserve">Приказом </w:t>
      </w:r>
      <w:r>
        <w:rPr>
          <w:color w:val="000000"/>
          <w:sz w:val="28"/>
        </w:rPr>
        <w:t>Росстандарта</w:t>
      </w:r>
      <w:r>
        <w:rPr>
          <w:color w:val="000000"/>
          <w:sz w:val="28"/>
        </w:rPr>
        <w:t xml:space="preserve"> от 20 декабря 2022 г. № 1533 </w:t>
      </w:r>
      <w:r>
        <w:rPr>
          <w:color w:val="000000"/>
          <w:sz w:val="28"/>
        </w:rPr>
        <w:t>утверждены</w:t>
      </w:r>
      <w:r>
        <w:rPr>
          <w:color w:val="000000"/>
          <w:sz w:val="28"/>
        </w:rPr>
        <w:t xml:space="preserve"> разработанные Минэкономразвития России изменени</w:t>
      </w:r>
      <w:r>
        <w:rPr>
          <w:color w:val="000000"/>
          <w:sz w:val="28"/>
        </w:rPr>
        <w:t>я к Общероссийскому классификатору видов экономической деятельности</w:t>
      </w:r>
      <w:r>
        <w:rPr>
          <w:color w:val="000000"/>
          <w:sz w:val="28"/>
        </w:rPr>
        <w:t xml:space="preserve"> ОК 029-2014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ОКВЭД 2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Общероссийскому классификатору продукции по видам экономической деятельности</w:t>
      </w:r>
      <w:r>
        <w:rPr>
          <w:color w:val="000000"/>
          <w:sz w:val="28"/>
        </w:rPr>
        <w:t xml:space="preserve"> ОК 034-2014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ОКПД 2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в части идентификации деятельности и услуг </w:t>
      </w:r>
      <w:r>
        <w:rPr>
          <w:color w:val="000000"/>
          <w:sz w:val="28"/>
        </w:rPr>
        <w:t>СОНКО</w:t>
      </w:r>
      <w:r>
        <w:rPr>
          <w:color w:val="000000"/>
          <w:sz w:val="28"/>
        </w:rPr>
        <w:t xml:space="preserve"> и фондов целевого капитала некоммерческих организаций. </w:t>
      </w:r>
      <w:r>
        <w:rPr>
          <w:color w:val="1A1A1A"/>
          <w:sz w:val="28"/>
        </w:rPr>
        <w:t xml:space="preserve">Приказом предусмотрено включение отдельных кодов для видов деятельности, осуществляемых </w:t>
      </w:r>
      <w:r>
        <w:rPr>
          <w:color w:val="1A1A1A"/>
          <w:sz w:val="28"/>
        </w:rPr>
        <w:t>СОНКО</w:t>
      </w:r>
      <w:r>
        <w:rPr>
          <w:color w:val="1A1A1A"/>
          <w:sz w:val="28"/>
        </w:rPr>
        <w:t>, в том числе для деятельности по сбору и передаче благотворительных пожертвований, деятельности по формированию целевого капитала</w:t>
      </w:r>
      <w:r>
        <w:rPr>
          <w:color w:val="1A1A1A"/>
          <w:sz w:val="28"/>
        </w:rPr>
        <w:t xml:space="preserve"> некоммерческих организаций,</w:t>
      </w:r>
      <w:r>
        <w:rPr>
          <w:color w:val="1A1A1A"/>
          <w:sz w:val="28"/>
        </w:rPr>
        <w:t xml:space="preserve"> деятельности организаций по охране окружающей среды, деятельности правозащитных организаций и другой. Благодаря изменениям упрощена идентификация некоммерческими организациями своей деятельности в ОКВЭД 2.</w:t>
      </w:r>
    </w:p>
    <w:p w14:paraId="1D000000">
      <w:pPr>
        <w:pStyle w:val="Style_2"/>
        <w:widowControl w:val="0"/>
        <w:numPr>
          <w:ilvl w:val="0"/>
          <w:numId w:val="1"/>
        </w:numPr>
        <w:spacing w:after="360" w:before="360"/>
        <w:ind w:hanging="357" w:left="714"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>Финансовая поддержка</w:t>
      </w:r>
    </w:p>
    <w:p w14:paraId="1E000000">
      <w:pPr>
        <w:widowControl w:val="0"/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Государственная финансовая поддержка СОНКО в 2022 году осуществлялась на федеральном, региональном и муниципальном уровнях.</w:t>
      </w:r>
    </w:p>
    <w:p w14:paraId="1F000000">
      <w:pPr>
        <w:widowControl w:val="0"/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Ассигнования федерального бюджета на поддержку СОНКО </w:t>
      </w:r>
      <w:r>
        <w:rPr>
          <w:rFonts w:ascii="Times New Roman" w:hAnsi="Times New Roman"/>
          <w:sz w:val="28"/>
        </w:rPr>
        <w:t>в 2022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t xml:space="preserve">составили </w:t>
      </w:r>
      <w:r>
        <w:rPr>
          <w:rFonts w:ascii="Times New Roman" w:hAnsi="Times New Roman"/>
          <w:sz w:val="28"/>
        </w:rPr>
        <w:t>344, 5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млрд</w:t>
      </w:r>
      <w:r>
        <w:rPr>
          <w:rFonts w:ascii="Times New Roman" w:hAnsi="Times New Roman"/>
          <w:sz w:val="28"/>
        </w:rPr>
        <w:t xml:space="preserve"> рублей</w:t>
      </w:r>
      <w:r>
        <w:rPr>
          <w:rStyle w:val="Style_4_ch"/>
          <w:sz w:val="28"/>
        </w:rPr>
        <w:footnoteReference w:id="1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распределены между 6 838 СОНКО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данные представлены в Таблице</w:t>
      </w:r>
      <w:r>
        <w:rPr>
          <w:rFonts w:ascii="Times New Roman" w:hAnsi="Times New Roman"/>
          <w:sz w:val="28"/>
        </w:rPr>
        <w:t xml:space="preserve"> 1).</w:t>
      </w:r>
    </w:p>
    <w:p w14:paraId="2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2022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t xml:space="preserve">Фондом президентских грантов было проведено </w:t>
      </w:r>
      <w:r>
        <w:rPr>
          <w:rFonts w:ascii="Times New Roman" w:hAnsi="Times New Roman"/>
          <w:sz w:val="28"/>
        </w:rPr>
        <w:t>три</w:t>
      </w:r>
      <w:r>
        <w:rPr>
          <w:rFonts w:ascii="Times New Roman" w:hAnsi="Times New Roman"/>
          <w:sz w:val="28"/>
        </w:rPr>
        <w:t xml:space="preserve"> конкурсных отбора по поддержке негосударственных </w:t>
      </w:r>
      <w:r>
        <w:rPr>
          <w:rFonts w:ascii="Times New Roman" w:hAnsi="Times New Roman"/>
          <w:sz w:val="28"/>
        </w:rPr>
        <w:t>НКО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Общая сумма </w:t>
      </w:r>
      <w:r>
        <w:rPr>
          <w:rFonts w:ascii="Times New Roman" w:hAnsi="Times New Roman"/>
          <w:sz w:val="28"/>
        </w:rPr>
        <w:t>поддержки</w:t>
      </w:r>
      <w:r>
        <w:rPr>
          <w:rFonts w:ascii="Times New Roman" w:hAnsi="Times New Roman"/>
          <w:sz w:val="28"/>
        </w:rPr>
        <w:t>, предоставленная</w:t>
      </w:r>
      <w:r>
        <w:rPr>
          <w:rFonts w:ascii="Times New Roman" w:hAnsi="Times New Roman"/>
          <w:sz w:val="28"/>
        </w:rPr>
        <w:t xml:space="preserve"> в рамках указанных конкурсов </w:t>
      </w:r>
      <w:r>
        <w:rPr>
          <w:rFonts w:ascii="Times New Roman" w:hAnsi="Times New Roman"/>
          <w:sz w:val="28"/>
        </w:rPr>
        <w:t>Фон</w:t>
      </w:r>
      <w:r>
        <w:rPr>
          <w:rFonts w:ascii="Times New Roman" w:hAnsi="Times New Roman"/>
          <w:sz w:val="28"/>
        </w:rPr>
        <w:t xml:space="preserve">дом президентских грантов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2022</w:t>
      </w:r>
      <w:r>
        <w:rPr>
          <w:rFonts w:ascii="Times New Roman" w:hAnsi="Times New Roman"/>
          <w:sz w:val="28"/>
        </w:rPr>
        <w:t xml:space="preserve"> году, составила </w:t>
      </w:r>
      <w:r>
        <w:rPr>
          <w:rFonts w:ascii="Times New Roman" w:hAnsi="Times New Roman"/>
          <w:sz w:val="28"/>
        </w:rPr>
        <w:t>9,7</w:t>
      </w:r>
      <w:r>
        <w:rPr>
          <w:rFonts w:ascii="Times New Roman" w:hAnsi="Times New Roman"/>
          <w:sz w:val="28"/>
        </w:rPr>
        <w:t xml:space="preserve"> млрд рублей, которая была распределена между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НКО</w:t>
      </w:r>
      <w:r>
        <w:rPr>
          <w:rFonts w:ascii="Times New Roman" w:hAnsi="Times New Roman"/>
          <w:sz w:val="28"/>
        </w:rPr>
        <w:t xml:space="preserve"> (4</w:t>
      </w:r>
      <w:r>
        <w:rPr>
          <w:rFonts w:ascii="Times New Roman" w:hAnsi="Times New Roman"/>
          <w:sz w:val="28"/>
        </w:rPr>
        <w:t xml:space="preserve"> млрд рублей </w:t>
      </w:r>
      <w:r>
        <w:rPr>
          <w:rFonts w:ascii="Times New Roman" w:hAnsi="Times New Roman"/>
          <w:sz w:val="28"/>
        </w:rPr>
        <w:t xml:space="preserve">между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942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НКО в рамках первого конкурсного отбора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3,8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млрд рублей между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889 НКО в рамках второго конкурса</w:t>
      </w:r>
      <w:r>
        <w:rPr>
          <w:rFonts w:ascii="Times New Roman" w:hAnsi="Times New Roman"/>
          <w:sz w:val="28"/>
        </w:rPr>
        <w:t>, 1,9 млрд.</w:t>
      </w:r>
      <w:r>
        <w:rPr>
          <w:rFonts w:ascii="Times New Roman" w:hAnsi="Times New Roman"/>
          <w:sz w:val="28"/>
        </w:rPr>
        <w:t xml:space="preserve"> рублей между 493 НКО в рамках С</w:t>
      </w:r>
      <w:r>
        <w:rPr>
          <w:rFonts w:ascii="Times New Roman" w:hAnsi="Times New Roman"/>
          <w:sz w:val="28"/>
        </w:rPr>
        <w:t>пециального конкурса</w:t>
      </w:r>
      <w:r>
        <w:rPr>
          <w:rFonts w:ascii="Times New Roman" w:hAnsi="Times New Roman"/>
          <w:sz w:val="28"/>
        </w:rPr>
        <w:t>)</w:t>
      </w:r>
      <w:r>
        <w:rPr>
          <w:rStyle w:val="Style_4_ch"/>
          <w:sz w:val="28"/>
        </w:rPr>
        <w:footnoteReference w:id="2"/>
      </w:r>
      <w:r>
        <w:rPr>
          <w:rFonts w:ascii="Times New Roman" w:hAnsi="Times New Roman"/>
          <w:sz w:val="28"/>
        </w:rPr>
        <w:t>.</w:t>
      </w:r>
    </w:p>
    <w:p w14:paraId="2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Президентским фондом культурных инициатив</w:t>
      </w:r>
      <w:r>
        <w:rPr>
          <w:rFonts w:ascii="Times New Roman" w:hAnsi="Times New Roman"/>
          <w:sz w:val="28"/>
        </w:rPr>
        <w:t xml:space="preserve"> в 2022 году</w:t>
      </w:r>
      <w:r>
        <w:rPr>
          <w:rFonts w:ascii="Times New Roman" w:hAnsi="Times New Roman"/>
          <w:sz w:val="28"/>
        </w:rPr>
        <w:t xml:space="preserve"> было проведено шесть конкурсных отборов по поддержке проектов в области культуры, искусства и креативных (творческих) индустрий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рамках указанных конкурсов было поддержано 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321 некоммерческих организаций на общую сумму 5,3 млрд. рублей.</w:t>
      </w:r>
    </w:p>
    <w:p w14:paraId="2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2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1. Сводная информация о финансировании СОНКО в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г. </w:t>
      </w:r>
      <w:r>
        <w:rPr>
          <w:rFonts w:ascii="Times New Roman" w:hAnsi="Times New Roman"/>
          <w:sz w:val="28"/>
        </w:rPr>
        <w:t>на федеральном уровне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36"/>
        <w:gridCol w:w="1835"/>
        <w:gridCol w:w="1845"/>
        <w:gridCol w:w="1277"/>
        <w:gridCol w:w="1277"/>
      </w:tblGrid>
      <w:tr>
        <w:trPr>
          <w:tblHeader/>
        </w:trPr>
        <w:tc>
          <w:tcPr>
            <w:tcW w:type="dxa" w:w="38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pStyle w:val="Style_2"/>
              <w:spacing w:after="0"/>
              <w:ind w:firstLine="0" w:left="0"/>
              <w:jc w:val="center"/>
            </w:pPr>
            <w:r>
              <w:t>Государственный орган Российской Федерации, оказывающий финансовую поддержку СОНКО</w:t>
            </w:r>
          </w:p>
        </w:tc>
        <w:tc>
          <w:tcPr>
            <w:tcW w:type="dxa" w:w="36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2"/>
              <w:spacing w:after="0"/>
              <w:ind w:firstLine="0" w:left="0"/>
              <w:jc w:val="center"/>
            </w:pPr>
            <w:r>
              <w:t>Объем государственной финансовой поддержки, представленной СОНКО (тыс. руб.)</w:t>
            </w:r>
          </w:p>
          <w:p w14:paraId="26000000">
            <w:pPr>
              <w:pStyle w:val="Style_2"/>
              <w:spacing w:after="0"/>
              <w:ind w:firstLine="0" w:left="0"/>
              <w:jc w:val="center"/>
            </w:pPr>
          </w:p>
        </w:tc>
        <w:tc>
          <w:tcPr>
            <w:tcW w:type="dxa" w:w="2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2"/>
              <w:spacing w:after="0"/>
              <w:ind w:firstLine="0" w:left="0"/>
              <w:jc w:val="center"/>
            </w:pPr>
            <w:r>
              <w:t>Количество СОНКО, получивших финансовую поддержку</w:t>
            </w:r>
          </w:p>
        </w:tc>
      </w:tr>
      <w:tr>
        <w:trPr>
          <w:tblHeader/>
        </w:trPr>
        <w:tc>
          <w:tcPr>
            <w:tcW w:type="dxa" w:w="38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pStyle w:val="Style_2"/>
              <w:spacing w:after="0"/>
              <w:ind w:firstLine="0" w:left="0"/>
              <w:jc w:val="center"/>
            </w:pPr>
            <w:r>
              <w:t>20</w:t>
            </w:r>
            <w:r>
              <w:t>2</w:t>
            </w:r>
            <w:r>
              <w:t>1</w:t>
            </w:r>
            <w:r>
              <w:t xml:space="preserve"> г.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2"/>
              <w:spacing w:after="0"/>
              <w:ind w:firstLine="0" w:left="0"/>
              <w:jc w:val="center"/>
            </w:pPr>
            <w:r>
              <w:t>2022</w:t>
            </w:r>
            <w:r>
              <w:t xml:space="preserve"> г.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pStyle w:val="Style_2"/>
              <w:spacing w:after="0"/>
              <w:ind w:firstLine="0" w:left="0"/>
              <w:jc w:val="center"/>
            </w:pPr>
            <w:r>
              <w:t>2021</w:t>
            </w:r>
            <w:r>
              <w:t xml:space="preserve"> г.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2"/>
              <w:spacing w:after="0"/>
              <w:ind w:firstLine="0" w:left="0"/>
              <w:jc w:val="center"/>
            </w:pPr>
            <w:r>
              <w:t>2022</w:t>
            </w:r>
            <w:r>
              <w:t xml:space="preserve"> г.</w:t>
            </w:r>
          </w:p>
        </w:tc>
      </w:tr>
      <w:tr>
        <w:trPr>
          <w:tblHeader/>
        </w:trP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2"/>
              <w:spacing w:after="0"/>
              <w:ind w:firstLine="0" w:left="0"/>
            </w:pPr>
            <w:r>
              <w:t>Минздрав России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line="28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3 626 345,4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line="28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152 869 390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line="28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line="28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blHeader/>
        </w:trP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2"/>
              <w:spacing w:after="0"/>
              <w:ind w:firstLine="0" w:left="0"/>
            </w:pPr>
            <w:r>
              <w:t>Минпросвещения России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line="28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6 753 899,6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line="28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 983 320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line="28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line="28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</w:t>
            </w:r>
          </w:p>
        </w:tc>
      </w:tr>
      <w:tr>
        <w:trPr>
          <w:tblHeader/>
        </w:trP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2"/>
              <w:spacing w:after="0"/>
              <w:ind w:firstLine="0" w:left="0"/>
            </w:pPr>
            <w:r>
              <w:t>Минкультуры России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line="28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8 796 224,3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line="28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16 672 840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line="28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line="28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</w:t>
            </w:r>
          </w:p>
        </w:tc>
      </w:tr>
      <w:tr>
        <w:trPr>
          <w:tblHeader/>
        </w:trP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2"/>
              <w:spacing w:after="0"/>
              <w:ind w:firstLine="0" w:left="0"/>
            </w:pPr>
            <w:r>
              <w:t>Минобрнауки России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47 900 506,5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40 704 930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</w:tr>
      <w:tr>
        <w:trPr>
          <w:tblHeader/>
        </w:trP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2"/>
              <w:spacing w:after="0"/>
              <w:ind w:firstLine="0" w:left="0"/>
            </w:pPr>
            <w:r>
              <w:t>Минспорт России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6 539 203,8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5 865 010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</w:tr>
      <w:tr>
        <w:trPr>
          <w:tblHeader/>
        </w:trP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2"/>
              <w:spacing w:after="0"/>
              <w:ind w:firstLine="0" w:left="0"/>
            </w:pPr>
            <w:r>
              <w:t>Минтруд России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4 268 590,7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4 669 880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</w:tr>
      <w:tr>
        <w:trPr>
          <w:tblHeader/>
        </w:trP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2"/>
              <w:spacing w:after="0"/>
              <w:ind w:firstLine="0" w:left="0"/>
            </w:pPr>
            <w:r>
              <w:t>МЧС России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79 559,2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79 540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rPr>
          <w:tblHeader/>
        </w:trP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2"/>
              <w:spacing w:after="0"/>
              <w:ind w:firstLine="0" w:left="0"/>
            </w:pPr>
            <w:r>
              <w:t>МИД России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336 124,2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345 260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blHeader/>
        </w:trP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2"/>
              <w:spacing w:after="0"/>
              <w:ind w:firstLine="0" w:left="0"/>
            </w:pPr>
            <w:r>
              <w:t>Минцифры</w:t>
            </w:r>
            <w:r>
              <w:t xml:space="preserve"> России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54 848 263,1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54 714 230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</w:tr>
      <w:tr>
        <w:trPr>
          <w:tblHeader/>
        </w:trP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2"/>
              <w:spacing w:after="0"/>
              <w:ind w:firstLine="0" w:left="0"/>
            </w:pPr>
            <w:r>
              <w:t>Росмолодежь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tabs>
                <w:tab w:leader="none" w:pos="672" w:val="center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20 869 793,2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38 926 010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tblHeader/>
        </w:trP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2"/>
              <w:spacing w:after="0"/>
              <w:ind w:firstLine="0" w:left="0"/>
            </w:pPr>
            <w:r>
              <w:t>ФАДН России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457 182,0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139 900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>
        <w:trPr>
          <w:tblHeader/>
        </w:trP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2"/>
              <w:spacing w:after="0"/>
              <w:ind w:firstLine="0" w:left="0"/>
            </w:pPr>
            <w:r>
              <w:t>Фонд президентских грантов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7 834 287,7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9 742 315, 3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3831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4324</w:t>
            </w:r>
          </w:p>
        </w:tc>
      </w:tr>
      <w:tr>
        <w:trPr>
          <w:tblHeader/>
        </w:trP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2"/>
              <w:spacing w:after="0"/>
              <w:ind w:firstLine="0" w:left="0"/>
            </w:pPr>
            <w:r>
              <w:t>Фонд культурных инициатив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5 365 207, 3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1321</w:t>
            </w:r>
          </w:p>
        </w:tc>
      </w:tr>
      <w:tr>
        <w:trPr>
          <w:trHeight w:hRule="atLeast" w:val="375"/>
          <w:tblHeader/>
        </w:trP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2"/>
              <w:spacing w:after="0"/>
              <w:ind w:firstLine="0" w:left="0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162 309 980,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344 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077 832, 6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4 944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6 838</w:t>
            </w:r>
          </w:p>
        </w:tc>
      </w:tr>
    </w:tbl>
    <w:p w14:paraId="72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73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Помимо этого,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 финансово</w:t>
      </w:r>
      <w:r>
        <w:rPr>
          <w:rFonts w:ascii="Times New Roman" w:hAnsi="Times New Roman"/>
          <w:sz w:val="28"/>
        </w:rPr>
        <w:t xml:space="preserve">й поддержки в 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</w:t>
      </w:r>
      <w:r>
        <w:rPr>
          <w:rFonts w:ascii="Times New Roman" w:hAnsi="Times New Roman"/>
          <w:sz w:val="28"/>
        </w:rPr>
        <w:t xml:space="preserve">лось </w:t>
      </w:r>
      <w:r>
        <w:rPr>
          <w:rFonts w:ascii="Times New Roman" w:hAnsi="Times New Roman"/>
          <w:sz w:val="28"/>
        </w:rPr>
        <w:t xml:space="preserve">органами </w:t>
      </w:r>
      <w:r>
        <w:rPr>
          <w:rFonts w:ascii="Times New Roman" w:hAnsi="Times New Roman"/>
          <w:sz w:val="28"/>
        </w:rPr>
        <w:t>исполнительной в</w:t>
      </w:r>
      <w:r>
        <w:rPr>
          <w:rFonts w:ascii="Times New Roman" w:hAnsi="Times New Roman"/>
          <w:sz w:val="28"/>
        </w:rPr>
        <w:t>ласти субъектов Российской Федерации</w:t>
      </w:r>
      <w:r>
        <w:rPr>
          <w:rFonts w:ascii="Times New Roman" w:hAnsi="Times New Roman"/>
          <w:sz w:val="28"/>
        </w:rPr>
        <w:t>.</w:t>
      </w:r>
    </w:p>
    <w:p w14:paraId="74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2022 г. 85 субъектов Российской Федерации оказало финансовую поддержку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около 11 тыс. СОНКО в размере 86,0 млрд рублей (для сравнения, в 2021 гг. было поддержано 9,6 тыс. СОНКО в размере 72 млрд рублей), в том числе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виде субсидий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конкурсной основе – 25,7 млрд рублей, в виде субсидий без проведения конкурсных процедур 29 млрд рублей, в виде компенсации по ФЗ-442 – 7,8 млрд рублей, в виде закупки по ФЗ-44 1 млрд рублей</w:t>
      </w:r>
      <w:r>
        <w:rPr>
          <w:rFonts w:ascii="Times New Roman" w:hAnsi="Times New Roman"/>
          <w:sz w:val="28"/>
        </w:rPr>
        <w:t xml:space="preserve">.  </w:t>
      </w:r>
    </w:p>
    <w:p w14:paraId="75000000">
      <w:pPr>
        <w:spacing w:after="0" w:line="36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2022 г. отдельные государственные программы субъектов Российской Федерации по поддержке СОНКО, в том числе отдельные подпрограммы </w:t>
      </w:r>
      <w:r>
        <w:rPr>
          <w:rFonts w:ascii="Times New Roman" w:hAnsi="Times New Roman"/>
          <w:sz w:val="27"/>
        </w:rPr>
        <w:t>государственных программ</w:t>
      </w:r>
      <w:r>
        <w:rPr>
          <w:rStyle w:val="Style_4_ch"/>
          <w:sz w:val="27"/>
        </w:rPr>
        <w:footnoteReference w:id="3"/>
      </w:r>
      <w:r>
        <w:rPr>
          <w:rFonts w:ascii="Times New Roman" w:hAnsi="Times New Roman"/>
          <w:sz w:val="27"/>
        </w:rPr>
        <w:t xml:space="preserve"> реализовывались в 80 субъектах Российской Федерации,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в рамках которых на мероприятия по поддержке СОНКО было выделено более 45,7 млрд рублей, поддержаны порядка 10 тыс. СОНКО (в 2021 году государственные программы показали 55 регионов, в рамках которых поддержку получили 4,7 тыс. СОНКО на сумму 5,8 млрд). </w:t>
      </w:r>
    </w:p>
    <w:p w14:paraId="76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2021 г. в 73 субъектах Российской Федерации была оказана поддержка СОНКО на муниципальном уровне посредством реализации мероприятий в рамках муниципальных программ или подпрограмм поддержки СОНКО (не учитывая городов федерального значения) (в 2021 году – 67).</w:t>
      </w:r>
    </w:p>
    <w:p w14:paraId="77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муниципальных районов и городских округов, реализующих мероприятия по поддержке СОНКО, в общем количестве муниципальных районов и городских округов на 31 декабря 2022 г. (за исключением городов федерального значения) составила 45 %, аналогичный показатель за предыдущий год составлял 43 %.</w:t>
      </w:r>
    </w:p>
    <w:p w14:paraId="78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отметить, что в 2022 г. в 6 субъектах Российской Федерации мероприятия в рамках муниципальных программ по поддержке СОНКО в 100 % муниципальных районах и городских округах (Краснодарском крае, Магаданской области, Тюменской области, Ханты-Мансийском автономном округе, Ямало-Ненецком автономном округе и Ярославской области).</w:t>
      </w:r>
    </w:p>
    <w:p w14:paraId="79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37 субъектах Российской Федерации в 2022 году местным бюджетам из бюджета субъекта Российской Федерации были предоставлены средства на реализацию муниципальных программ поддержки СОНКО на общую сумму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5,85 млрд рублей, при этом большая часть из данных средств была передана посредством выделения субвенций (4,84 млрд рублей). Московская область является абсолютным лидером по сумме переданных средств местным </w:t>
      </w:r>
      <w:r>
        <w:rPr>
          <w:rFonts w:ascii="Times New Roman" w:hAnsi="Times New Roman"/>
          <w:sz w:val="28"/>
        </w:rPr>
        <w:t>бюджетамна</w:t>
      </w:r>
      <w:r>
        <w:rPr>
          <w:rFonts w:ascii="Times New Roman" w:hAnsi="Times New Roman"/>
          <w:sz w:val="28"/>
        </w:rPr>
        <w:t xml:space="preserve"> реализацию муниципальных программ по поддержке СОНКО как в 2022 году (3,33 млрд рублей), так и в 2018-2021 годах (2,62 млрд, 2,86, 3,35, 3,</w:t>
      </w:r>
      <w:r>
        <w:rPr>
          <w:rFonts w:ascii="Times New Roman" w:hAnsi="Times New Roman"/>
          <w:sz w:val="28"/>
        </w:rPr>
        <w:t>7  млрд</w:t>
      </w:r>
      <w:r>
        <w:rPr>
          <w:rFonts w:ascii="Times New Roman" w:hAnsi="Times New Roman"/>
          <w:sz w:val="28"/>
        </w:rPr>
        <w:t xml:space="preserve"> рублей соответственно). </w:t>
      </w:r>
    </w:p>
    <w:p w14:paraId="7A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11 регионах (Томская область, Московская область, Республика Башкортостан, Рязанская область, Ханты-Мансийский автономный округ, Ямало-</w:t>
      </w:r>
      <w:r>
        <w:rPr>
          <w:rFonts w:ascii="Times New Roman" w:hAnsi="Times New Roman"/>
          <w:sz w:val="28"/>
        </w:rPr>
        <w:t>Ненецкий автономный округ, Нижегородская область, Ставропольский край, Оренбургская область, Владимирская область, республика Алтай) целью предоставления муниципалитетам бюджетных средств из регионального бюджета является финансовое обеспечение получения образования в частных образовательных организациях.</w:t>
      </w:r>
    </w:p>
    <w:p w14:paraId="7B000000">
      <w:pPr>
        <w:pStyle w:val="Style_2"/>
        <w:numPr>
          <w:ilvl w:val="0"/>
          <w:numId w:val="1"/>
        </w:numPr>
        <w:spacing w:after="360" w:before="360"/>
        <w:ind w:hanging="357" w:left="714"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>Финансовая поддержка ресурсных центров, оказывающих поддержку СОНКО</w:t>
      </w:r>
    </w:p>
    <w:p w14:paraId="7C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данным, предоставленным в Минэкономразвития России субъектами Российской Федерации, на региональном уровне в 2022 г. государственная финансовая поддержка оказывалась 299 ресурсным центрам в 70 субъектах Российской Федерации. Общий объем переданной поддержки составил 4.4 млрд рублей (Таблица 2). Преимущественно средства предоставлялись ресурсным центрам в виде субсидии на конкурсной основе.</w:t>
      </w:r>
    </w:p>
    <w:p w14:paraId="7D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2. Финансовая поддержка ресурсных центров за 2018-2022 гг.</w:t>
      </w:r>
    </w:p>
    <w:tbl>
      <w:tblPr>
        <w:tblStyle w:val="Style_6"/>
        <w:tblLayout w:type="fixed"/>
      </w:tblPr>
      <w:tblGrid>
        <w:gridCol w:w="2078"/>
        <w:gridCol w:w="1427"/>
        <w:gridCol w:w="1427"/>
        <w:gridCol w:w="1159"/>
        <w:gridCol w:w="1275"/>
        <w:gridCol w:w="1134"/>
        <w:gridCol w:w="1695"/>
      </w:tblGrid>
      <w:tr>
        <w:tc>
          <w:tcPr>
            <w:tcW w:type="dxa" w:w="2078"/>
          </w:tcPr>
          <w:p w14:paraId="7E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1427"/>
          </w:tcPr>
          <w:p w14:paraId="7F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type="dxa" w:w="1427"/>
          </w:tcPr>
          <w:p w14:paraId="80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1159"/>
          </w:tcPr>
          <w:p w14:paraId="81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1275"/>
          </w:tcPr>
          <w:p w14:paraId="82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1134"/>
          </w:tcPr>
          <w:p w14:paraId="83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1695"/>
          </w:tcPr>
          <w:p w14:paraId="84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 прироста, % (2022 г.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 2018 г.)</w:t>
            </w:r>
          </w:p>
        </w:tc>
      </w:tr>
      <w:tr>
        <w:tc>
          <w:tcPr>
            <w:tcW w:type="dxa" w:w="2078"/>
          </w:tcPr>
          <w:p w14:paraId="85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ресурсных центров, получивших финансирование из регионального бюджета, ед.</w:t>
            </w:r>
          </w:p>
        </w:tc>
        <w:tc>
          <w:tcPr>
            <w:tcW w:type="dxa" w:w="1427"/>
          </w:tcPr>
          <w:p w14:paraId="86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</w:t>
            </w:r>
          </w:p>
        </w:tc>
        <w:tc>
          <w:tcPr>
            <w:tcW w:type="dxa" w:w="1427"/>
          </w:tcPr>
          <w:p w14:paraId="87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type="dxa" w:w="1159"/>
          </w:tcPr>
          <w:p w14:paraId="88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type="dxa" w:w="1275"/>
          </w:tcPr>
          <w:p w14:paraId="89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type="dxa" w:w="1134"/>
          </w:tcPr>
          <w:p w14:paraId="8A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</w:t>
            </w:r>
          </w:p>
        </w:tc>
        <w:tc>
          <w:tcPr>
            <w:tcW w:type="dxa" w:w="1695"/>
          </w:tcPr>
          <w:p w14:paraId="8B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+ 83  %</w:t>
            </w:r>
          </w:p>
        </w:tc>
      </w:tr>
      <w:tr>
        <w:tc>
          <w:tcPr>
            <w:tcW w:type="dxa" w:w="2078"/>
          </w:tcPr>
          <w:p w14:paraId="8C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переданных средств из регионального бюджета, млрд руб.</w:t>
            </w:r>
          </w:p>
        </w:tc>
        <w:tc>
          <w:tcPr>
            <w:tcW w:type="dxa" w:w="1427"/>
          </w:tcPr>
          <w:p w14:paraId="8D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1,31</w:t>
            </w:r>
          </w:p>
        </w:tc>
        <w:tc>
          <w:tcPr>
            <w:tcW w:type="dxa" w:w="1427"/>
          </w:tcPr>
          <w:p w14:paraId="8E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1,46</w:t>
            </w:r>
          </w:p>
        </w:tc>
        <w:tc>
          <w:tcPr>
            <w:tcW w:type="dxa" w:w="1159"/>
          </w:tcPr>
          <w:p w14:paraId="8F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1,59</w:t>
            </w:r>
          </w:p>
        </w:tc>
        <w:tc>
          <w:tcPr>
            <w:tcW w:type="dxa" w:w="1275"/>
          </w:tcPr>
          <w:p w14:paraId="90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1,92</w:t>
            </w:r>
          </w:p>
        </w:tc>
        <w:tc>
          <w:tcPr>
            <w:tcW w:type="dxa" w:w="1134"/>
          </w:tcPr>
          <w:p w14:paraId="91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</w:t>
            </w:r>
          </w:p>
        </w:tc>
        <w:tc>
          <w:tcPr>
            <w:tcW w:type="dxa" w:w="1695"/>
          </w:tcPr>
          <w:p w14:paraId="92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+ 238 %</w:t>
            </w:r>
          </w:p>
        </w:tc>
      </w:tr>
    </w:tbl>
    <w:p w14:paraId="93000000">
      <w:pPr>
        <w:pStyle w:val="Style_2"/>
        <w:numPr>
          <w:ilvl w:val="0"/>
          <w:numId w:val="1"/>
        </w:numPr>
        <w:spacing w:after="360" w:before="360" w:line="360" w:lineRule="auto"/>
        <w:ind w:hanging="357" w:left="714"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>Имущественная поддержка</w:t>
      </w:r>
    </w:p>
    <w:p w14:paraId="94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73 субъекта Российской Федерации оказывали имущественную поддержку СОНКО в 2022 г. на региональном уровне, 68 – на муниципальном, предоставляя недвижимое имущество на льготных условиях или на правах безвозмездного пользования. </w:t>
      </w:r>
    </w:p>
    <w:p w14:paraId="95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Общая площадь недвижимого имущества, находящегося в течение 2022 года у СОНКО на льготных условиях или на правах безвозмездного пользования, составила </w:t>
      </w:r>
      <w:r>
        <w:rPr>
          <w:rFonts w:ascii="Times New Roman" w:hAnsi="Times New Roman"/>
          <w:sz w:val="28"/>
        </w:rPr>
        <w:t xml:space="preserve">4 302 тыс. кв. м., из них на региональном уровне 2 493 тыс. кв. м., на муниципальном 1 809 тыс. кв. м. </w:t>
      </w:r>
    </w:p>
    <w:p w14:paraId="96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СОНКО, имеющих в течение 2022 года в пользовании недвижимое имущество на льготных условиях или на правах безвозмездного пользования, составило 10 136 организаций, из них на региональном уровне 2 720 СОНКО,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7 416 СОНКО на муниципальном уровне. </w:t>
      </w:r>
    </w:p>
    <w:p w14:paraId="97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отметить, что в 2022 г. имущественную поддержку получили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3 549 СОНКО, из них 682 СОНКО на региональном и 2 867 СОНКО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муниципальном уровнях, таким образом, состав СОНКО, пользующихся государственной имущественной поддержкой, обновляется. </w:t>
      </w:r>
    </w:p>
    <w:p w14:paraId="98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31 декабря 2022 г. региональную имущественную поддержку получали 9 424 СОНКО (2 604 СОНКО на региональном и 6 820 СОНКО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муниципальном уровне), при этом общее количество предоставленной СОНКО площади на льготных условиях или в безвозмездное пользование, по состоянию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31 декабря 2022 г. составило 3 818 тыс. кв. метров, из них 2 240 тыс. кв. м.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региональном уровне и 1 579 тыс. кв. м. на муниципальном. Данные цифры показывают, что количество СОНКО, пользующихся государственной имущественной поддержкой, и объем предоставляемой площади по итогам года принципиально не изменились, являясь стабильной формой поддержки. </w:t>
      </w:r>
    </w:p>
    <w:p w14:paraId="99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сравнения, по состоянию на 31 декабря 2021 г. региональную имущественную поддержку получали 5 640 СОНКО, общее количество предоставленной СОНКО площади на льготных условиях или в безвозмездное пользование, переданной субъектами Российской Федерации, составило 2 441 тыс. кв. метров. </w:t>
      </w:r>
    </w:p>
    <w:p w14:paraId="9A000000">
      <w:pPr>
        <w:spacing w:after="0" w:line="360" w:lineRule="auto"/>
        <w:ind w:firstLine="708" w:left="0"/>
        <w:jc w:val="both"/>
        <w:rPr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5. И</w:t>
      </w:r>
      <w:r>
        <w:rPr>
          <w:rFonts w:ascii="Times New Roman" w:hAnsi="Times New Roman"/>
          <w:b w:val="1"/>
          <w:sz w:val="28"/>
        </w:rPr>
        <w:t>нформационная поддержка</w:t>
      </w:r>
    </w:p>
    <w:p w14:paraId="9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информационной поддержки СОНКО, сбора и распространения сведений о лучших практиках</w:t>
      </w:r>
      <w:r>
        <w:rPr>
          <w:rFonts w:ascii="Times New Roman" w:hAnsi="Times New Roman"/>
          <w:sz w:val="28"/>
        </w:rPr>
        <w:t xml:space="preserve"> развития инфраструктуры поддержки</w:t>
      </w:r>
      <w:r>
        <w:rPr>
          <w:rFonts w:ascii="Times New Roman" w:hAnsi="Times New Roman"/>
          <w:sz w:val="28"/>
        </w:rPr>
        <w:t xml:space="preserve"> деятельности СОНКО функционирует единая автоматизированная информационная система поддержки СОНКО, являющаяся информационным ресурсом Минэкономразвития </w:t>
      </w:r>
      <w:r>
        <w:rPr>
          <w:rFonts w:ascii="Times New Roman" w:hAnsi="Times New Roman"/>
          <w:sz w:val="28"/>
        </w:rPr>
        <w:t xml:space="preserve">России и размещенная в сети «Интернет» по адресу nko.economy.gov.ru. Ежедневно указанный портал посещает порядка 2 тыс. уникальных пользователей. </w:t>
      </w:r>
    </w:p>
    <w:p w14:paraId="9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Минюстом России создан и поддерживается информационный портал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деятельности некоммерческих организаций, который содержит информацию о зарегистрированных НКО на территории Российской Федерации, а также отчеты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деятельности НКО. Портал размещен в сети «Интернет» по адресу https://unro.minjust.ru.</w:t>
      </w:r>
    </w:p>
    <w:p w14:paraId="9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официальных порталах федеральных органов исполнительной власти, оказывающих поддержку СОНКО, публикуется актуальная информация о мероприятиях, проводимых НКО, информация о взаимодействии указанных ведомств с СОНКО, информация по вопросам предоставления государственной поддержки НКО, а также публикуются реестры СОНКО-получателей государственной поддержки. </w:t>
      </w:r>
    </w:p>
    <w:p w14:paraId="9E000000">
      <w:pPr>
        <w:spacing w:after="0" w:line="36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2022 году 77 субъектах Российской Федерации (в 2021 году – в 69 регионах) функционировал региональный информационный ресурс органа власти, уполномоченного на выработку государственной политики в сфере поддержки СОНКО, содержащий информацию о действующих мерах государственной региональной поддержки. При этом в 16 и 18 регионах данные о поддержке СОНКО размещались в формате свободных публичных лицензий и открытых данных соответственно.</w:t>
      </w:r>
    </w:p>
    <w:p w14:paraId="9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2022</w:t>
      </w:r>
      <w:r>
        <w:rPr>
          <w:rFonts w:ascii="Times New Roman" w:hAnsi="Times New Roman"/>
          <w:sz w:val="28"/>
        </w:rPr>
        <w:t xml:space="preserve"> г. Минэкономразвития России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оказана информационная поддержка конкурсу отчетов СОНКО «Точка отсчета», федеральному конкурсу социальной рекла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ы участия граждан в деятельности СОНКО, благотворительности, добровольчестве и социальном предпринимательстве «Реклама будущего», конкурсу «Лидеры корпоративной благотворительности», информаци</w:t>
      </w:r>
      <w:r>
        <w:rPr>
          <w:rFonts w:ascii="Times New Roman" w:hAnsi="Times New Roman"/>
          <w:sz w:val="28"/>
        </w:rPr>
        <w:t>онной кампании «Щедрый вторник».</w:t>
      </w:r>
    </w:p>
    <w:p w14:paraId="A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2022 г. продолжил функционировать</w:t>
      </w:r>
      <w:r>
        <w:rPr>
          <w:rFonts w:ascii="Times New Roman" w:hAnsi="Times New Roman"/>
          <w:sz w:val="28"/>
        </w:rPr>
        <w:t xml:space="preserve"> информационный проект «Час с </w:t>
      </w:r>
      <w:r>
        <w:rPr>
          <w:rFonts w:ascii="Times New Roman" w:hAnsi="Times New Roman"/>
          <w:sz w:val="28"/>
        </w:rPr>
        <w:t>Минэком</w:t>
      </w:r>
      <w:r>
        <w:rPr>
          <w:rFonts w:ascii="Times New Roman" w:hAnsi="Times New Roman"/>
          <w:sz w:val="28"/>
        </w:rPr>
        <w:t>», запущенный Минэкономразвития России совместно с Общественн</w:t>
      </w:r>
      <w:r>
        <w:rPr>
          <w:rFonts w:ascii="Times New Roman" w:hAnsi="Times New Roman"/>
          <w:sz w:val="28"/>
        </w:rPr>
        <w:t>ой Палатой Российской Федерации. Проект представляет собой</w:t>
      </w:r>
      <w:r>
        <w:rPr>
          <w:rFonts w:ascii="Times New Roman" w:hAnsi="Times New Roman"/>
          <w:sz w:val="28"/>
        </w:rPr>
        <w:t xml:space="preserve"> регулярные онлайн-встречи для заинтересованных лиц, но в первую очередь – для членов региональных </w:t>
      </w:r>
      <w:r>
        <w:rPr>
          <w:rFonts w:ascii="Times New Roman" w:hAnsi="Times New Roman"/>
          <w:sz w:val="28"/>
        </w:rPr>
        <w:t>и муниципальных общественных палат. Указанные мероприятия проводятся с целью обзора результатов деятельности Минэкономразвития России в части под</w:t>
      </w:r>
      <w:r>
        <w:rPr>
          <w:rFonts w:ascii="Times New Roman" w:hAnsi="Times New Roman"/>
          <w:sz w:val="28"/>
        </w:rPr>
        <w:t xml:space="preserve">держки некоммерческого сектора </w:t>
      </w:r>
      <w:r>
        <w:rPr>
          <w:rFonts w:ascii="Times New Roman" w:hAnsi="Times New Roman"/>
          <w:sz w:val="28"/>
        </w:rPr>
        <w:t xml:space="preserve">за прошедший период и планов на ближайшее будущее. Онлайн-трансляция «Часа с </w:t>
      </w:r>
      <w:r>
        <w:rPr>
          <w:rFonts w:ascii="Times New Roman" w:hAnsi="Times New Roman"/>
          <w:sz w:val="28"/>
        </w:rPr>
        <w:t>Минэком</w:t>
      </w:r>
      <w:r>
        <w:rPr>
          <w:rFonts w:ascii="Times New Roman" w:hAnsi="Times New Roman"/>
          <w:sz w:val="28"/>
        </w:rPr>
        <w:t>» демонстрируется на сайте Общественной Палаты Российской Федерации.</w:t>
      </w:r>
    </w:p>
    <w:p w14:paraId="A1000000">
      <w:pPr>
        <w:pStyle w:val="Style_2"/>
        <w:numPr>
          <w:ilvl w:val="0"/>
          <w:numId w:val="2"/>
        </w:numPr>
        <w:spacing w:after="360" w:before="360"/>
        <w:ind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>Методическая и консультационная поддержка</w:t>
      </w:r>
    </w:p>
    <w:p w14:paraId="A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повышения квалификации в 2022 году 2979 государственных гражданских и муниципальных служащих в 52 регионах прошли обучение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вопросам взаимодействия с НКО, в том числе оказания услуг в социальной сфере (для сравнения, 1995 чел. в 2021 г.).</w:t>
      </w:r>
    </w:p>
    <w:p w14:paraId="A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Число представителей СОНКО, прошедших обучение по вопросам оказания услуг в социальной сфере за счет средств 45 субъектов Российской Федерации, 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2022 году составило 29 726 чел. (для сравнения, 15910 в 2021 г.).</w:t>
      </w:r>
    </w:p>
    <w:p w14:paraId="A4000000">
      <w:pPr>
        <w:pStyle w:val="Style_7"/>
        <w:numPr>
          <w:ilvl w:val="0"/>
          <w:numId w:val="2"/>
        </w:numPr>
        <w:spacing w:after="360" w:before="360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>нформация о реализ</w:t>
      </w:r>
      <w:r>
        <w:rPr>
          <w:rFonts w:ascii="Times New Roman" w:hAnsi="Times New Roman"/>
          <w:color w:val="000000"/>
        </w:rPr>
        <w:t xml:space="preserve">ации Комплекса мер, направленного на обеспечение поэтапного доступа негосударственных организаций, осуществляющих деятельность в социальной сфере, к </w:t>
      </w:r>
      <w:r>
        <w:rPr>
          <w:rFonts w:ascii="Times New Roman" w:hAnsi="Times New Roman"/>
          <w:color w:val="000000"/>
        </w:rPr>
        <w:t>бюджетным средствам, выделяемым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на предоставление социальных услуг </w:t>
      </w:r>
      <w:r>
        <w:rPr>
          <w:rFonts w:ascii="Times New Roman" w:hAnsi="Times New Roman"/>
          <w:color w:val="000000"/>
        </w:rPr>
        <w:t xml:space="preserve">населению, на 2021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2024 годы,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субъектах Российской Федерации</w:t>
      </w:r>
    </w:p>
    <w:p w14:paraId="A5000000">
      <w:pPr>
        <w:spacing w:after="0" w:line="312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2022 г. 85 субъектов Российской Федерации осуществляли реализацию Комплекса мер. Обеспечение поэтапного негосударственных поставщиков к бюджетным средствам, выделяемым на предоставление населению услуг в социальной сфере, происходило по пяти основным направлениям: социальная защита и социальное обслуживание, образование, культура, охрана здоровья граждан, физическая культура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и спорт. При этом 46 субъектов Российской Федерации также реализовывали Комплекс мер по направлению «молодежная политика», 48 регионов передавали средства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на оказание межведомственных услуг. </w:t>
      </w:r>
    </w:p>
    <w:p w14:paraId="A6000000">
      <w:pPr>
        <w:widowControl w:val="0"/>
        <w:spacing w:after="0" w:line="312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Общий объем средств, переданных субъектами Российской Федерации негосударственным поставщикам на реализацию указанных направлений в 2022 г. составил порядка 70 млрд рублей. Указанные средства были распределены между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7,2 тыс. негосударственных организаций</w:t>
      </w:r>
      <w:r>
        <w:rPr>
          <w:rStyle w:val="Style_4_ch"/>
          <w:sz w:val="27"/>
        </w:rPr>
        <w:footnoteReference w:id="4"/>
      </w:r>
      <w:r>
        <w:rPr>
          <w:rFonts w:ascii="Times New Roman" w:hAnsi="Times New Roman"/>
          <w:sz w:val="27"/>
        </w:rPr>
        <w:t>, услуги которых получили около 34,5  млн человек</w:t>
      </w:r>
      <w:r>
        <w:rPr>
          <w:rStyle w:val="Style_4_ch"/>
          <w:sz w:val="27"/>
        </w:rPr>
        <w:footnoteReference w:id="5"/>
      </w:r>
      <w:r>
        <w:rPr>
          <w:rFonts w:ascii="Times New Roman" w:hAnsi="Times New Roman"/>
          <w:sz w:val="27"/>
        </w:rPr>
        <w:t xml:space="preserve"> (для сравнения, в 2021 г. 50,38 млрд рублей были распределены между более чем 4,5 тыс. негосударственных поставщиков, услуги которых получили более 45 млн человек). </w:t>
      </w:r>
    </w:p>
    <w:p w14:paraId="A7000000">
      <w:pPr>
        <w:pStyle w:val="Style_2"/>
        <w:spacing w:after="0"/>
        <w:ind w:firstLine="709" w:left="0"/>
        <w:jc w:val="both"/>
        <w:rPr>
          <w:i w:val="1"/>
          <w:sz w:val="27"/>
        </w:rPr>
      </w:pPr>
      <w:r>
        <w:rPr>
          <w:i w:val="1"/>
          <w:sz w:val="27"/>
        </w:rPr>
        <w:t xml:space="preserve">Таблица </w:t>
      </w:r>
      <w:r>
        <w:rPr>
          <w:i w:val="1"/>
          <w:sz w:val="27"/>
        </w:rPr>
        <w:t>3</w:t>
      </w:r>
      <w:r>
        <w:rPr>
          <w:i w:val="1"/>
          <w:sz w:val="27"/>
        </w:rPr>
        <w:t xml:space="preserve">. Результаты реализации мер по обеспечению доступа негосударственных организаций к предоставлению услуг в социальной сфере </w:t>
      </w:r>
      <w:r>
        <w:rPr>
          <w:i w:val="1"/>
          <w:sz w:val="27"/>
        </w:rPr>
        <w:br/>
      </w:r>
      <w:r>
        <w:rPr>
          <w:i w:val="1"/>
          <w:sz w:val="27"/>
        </w:rPr>
        <w:t>в 2022 г., по отраслям</w:t>
      </w:r>
    </w:p>
    <w:tbl>
      <w:tblPr>
        <w:tblStyle w:val="Style_5"/>
        <w:tblLayout w:type="fixed"/>
      </w:tblPr>
      <w:tblGrid>
        <w:gridCol w:w="2145"/>
        <w:gridCol w:w="2249"/>
        <w:gridCol w:w="2768"/>
        <w:gridCol w:w="3043"/>
      </w:tblGrid>
      <w:tr>
        <w:trPr>
          <w:trHeight w:hRule="atLeast" w:val="1973"/>
          <w:tblHeader/>
        </w:trPr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Отрасли социальной сферы</w:t>
            </w:r>
          </w:p>
        </w:tc>
        <w:tc>
          <w:tcPr>
            <w:tcW w:type="dxa" w:w="2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негосударственных поставщиков, которым были переданы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исполнение услуги, предоставляемые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за счет бюджета, ед.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(по всем субъектам Российской Федерации)</w:t>
            </w:r>
          </w:p>
        </w:tc>
        <w:tc>
          <w:tcPr>
            <w:tcW w:type="dxa" w:w="27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Общий объем средств бюджетов субъектов Российской Федерации, фактически переданных негосударственным поставщикам на оказание услуг, млн. руб.</w:t>
            </w:r>
          </w:p>
        </w:tc>
        <w:tc>
          <w:tcPr>
            <w:tcW w:type="dxa" w:w="30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Субъекты Российской Федерации – лидеры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по передаче услуг негосударственным поставщикам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объему средств бюджетов субъектов Российской Федерации, фактически переданных негосударственным организациям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на оказание услуг)</w:t>
            </w:r>
          </w:p>
        </w:tc>
      </w:tr>
      <w:tr>
        <w:trPr>
          <w:trHeight w:hRule="atLeast" w:val="1417"/>
        </w:trPr>
        <w:tc>
          <w:tcPr>
            <w:tcW w:type="dxa" w:w="214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защита и социальное обслуживание</w:t>
            </w:r>
          </w:p>
        </w:tc>
        <w:tc>
          <w:tcPr>
            <w:tcW w:type="dxa" w:w="2249"/>
            <w:tcBorders>
              <w:top w:color="000000" w:sz="8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2 048</w:t>
            </w:r>
          </w:p>
        </w:tc>
        <w:tc>
          <w:tcPr>
            <w:tcW w:type="dxa" w:w="2768"/>
            <w:tcBorders>
              <w:top w:color="000000" w:sz="8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20 633, 449</w:t>
            </w:r>
          </w:p>
        </w:tc>
        <w:tc>
          <w:tcPr>
            <w:tcW w:type="dxa" w:w="3043"/>
            <w:tcBorders>
              <w:top w:color="000000" w:sz="8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Самарская область</w:t>
            </w:r>
          </w:p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Санкт-Петербург</w:t>
            </w:r>
          </w:p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Московская область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г. Москва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Волгоградская область </w:t>
            </w:r>
          </w:p>
        </w:tc>
      </w:tr>
      <w:tr>
        <w:trPr>
          <w:trHeight w:hRule="atLeast" w:val="1395"/>
        </w:trPr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1 792</w:t>
            </w:r>
          </w:p>
        </w:tc>
        <w:tc>
          <w:tcPr>
            <w:tcW w:type="dxa" w:w="2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19 950,143</w:t>
            </w:r>
          </w:p>
        </w:tc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Москва</w:t>
            </w:r>
          </w:p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Московская область</w:t>
            </w:r>
          </w:p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Самарская область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Республика Саха-Якутия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Республика Башкортостан</w:t>
            </w:r>
          </w:p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Санкт-Петербург</w:t>
            </w:r>
          </w:p>
        </w:tc>
      </w:tr>
      <w:tr>
        <w:trPr>
          <w:trHeight w:hRule="atLeast" w:val="1138"/>
        </w:trPr>
        <w:tc>
          <w:tcPr>
            <w:tcW w:type="dxa" w:w="214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 (включая патриотическое воспитание и национальную политику)</w:t>
            </w:r>
          </w:p>
        </w:tc>
        <w:tc>
          <w:tcPr>
            <w:tcW w:type="dxa" w:w="224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809</w:t>
            </w:r>
          </w:p>
        </w:tc>
        <w:tc>
          <w:tcPr>
            <w:tcW w:type="dxa" w:w="2768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3 809, 069</w:t>
            </w:r>
          </w:p>
        </w:tc>
        <w:tc>
          <w:tcPr>
            <w:tcW w:type="dxa" w:w="304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 Санкт-Петербург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Нижегородская область</w:t>
            </w:r>
          </w:p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146"/>
        </w:trPr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Здравоохранение (включая ОМС)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347</w:t>
            </w:r>
          </w:p>
        </w:tc>
        <w:tc>
          <w:tcPr>
            <w:tcW w:type="dxa" w:w="2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222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7 413,020</w:t>
            </w:r>
          </w:p>
        </w:tc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Самарская область</w:t>
            </w:r>
          </w:p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Ивановская область</w:t>
            </w:r>
          </w:p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Осетия – Алания</w:t>
            </w:r>
          </w:p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Тверская область</w:t>
            </w:r>
          </w:p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КБР</w:t>
            </w:r>
          </w:p>
        </w:tc>
      </w:tr>
      <w:tr>
        <w:trPr>
          <w:trHeight w:hRule="atLeast" w:val="1485"/>
        </w:trPr>
        <w:tc>
          <w:tcPr>
            <w:tcW w:type="dxa" w:w="214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Физкультура и массовый спорт</w:t>
            </w:r>
          </w:p>
        </w:tc>
        <w:tc>
          <w:tcPr>
            <w:tcW w:type="dxa" w:w="2249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1031</w:t>
            </w:r>
          </w:p>
        </w:tc>
        <w:tc>
          <w:tcPr>
            <w:tcW w:type="dxa" w:w="2768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11 932,460</w:t>
            </w:r>
          </w:p>
        </w:tc>
        <w:tc>
          <w:tcPr>
            <w:tcW w:type="dxa" w:w="3043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Челябинская область</w:t>
            </w:r>
          </w:p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Тюменская область</w:t>
            </w:r>
          </w:p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Ханты-Мансийский автономный округ</w:t>
            </w:r>
          </w:p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Чеченская республика</w:t>
            </w:r>
          </w:p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Башкортостан</w:t>
            </w:r>
          </w:p>
        </w:tc>
      </w:tr>
      <w:tr>
        <w:trPr>
          <w:trHeight w:hRule="atLeast" w:val="1480"/>
        </w:trPr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политика (включая организацию отдыха и оздоровление детей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628</w:t>
            </w:r>
          </w:p>
        </w:tc>
        <w:tc>
          <w:tcPr>
            <w:tcW w:type="dxa" w:w="2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2 212,2</w:t>
            </w:r>
          </w:p>
        </w:tc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Самарская область </w:t>
            </w:r>
          </w:p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Татарстан</w:t>
            </w:r>
          </w:p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ЯНАО</w:t>
            </w:r>
          </w:p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Челябинская область </w:t>
            </w:r>
          </w:p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Санкт-Петербург </w:t>
            </w:r>
          </w:p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Приморский край</w:t>
            </w:r>
          </w:p>
        </w:tc>
      </w:tr>
      <w:tr>
        <w:trPr>
          <w:trHeight w:hRule="atLeast" w:val="331"/>
        </w:trPr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Межотраслевые услуги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581</w:t>
            </w:r>
          </w:p>
        </w:tc>
        <w:tc>
          <w:tcPr>
            <w:tcW w:type="dxa" w:w="2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4 105,625</w:t>
            </w:r>
          </w:p>
        </w:tc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ЯНАО</w:t>
            </w:r>
          </w:p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Тюменская область</w:t>
            </w:r>
          </w:p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Москва</w:t>
            </w:r>
          </w:p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Ханты-Мансийский автономный округ</w:t>
            </w:r>
          </w:p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Волгоградская область</w:t>
            </w:r>
          </w:p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Ростовская область</w:t>
            </w:r>
          </w:p>
        </w:tc>
      </w:tr>
      <w:tr>
        <w:trPr>
          <w:trHeight w:hRule="atLeast" w:val="316"/>
        </w:trPr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7 244</w:t>
            </w:r>
          </w:p>
        </w:tc>
        <w:tc>
          <w:tcPr>
            <w:tcW w:type="dxa" w:w="2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70 055,696</w:t>
            </w:r>
          </w:p>
        </w:tc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E4000000">
      <w:pPr>
        <w:spacing w:line="312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отраслевом разрезе достигнутые в 2022 г. результаты выглядят следующим образом (Рис.1).</w:t>
      </w:r>
    </w:p>
    <w:p w14:paraId="E5000000">
      <w:pPr>
        <w:pStyle w:val="Style_8"/>
        <w:keepNext w:val="1"/>
        <w:ind w:firstLine="709" w:left="0"/>
        <w:jc w:val="both"/>
        <w:rPr>
          <w:rFonts w:ascii="Times New Roman" w:hAnsi="Times New Roman"/>
          <w:b w:val="0"/>
          <w:i w:val="1"/>
          <w:color w:val="000000"/>
          <w:sz w:val="27"/>
        </w:rPr>
      </w:pPr>
      <w:r>
        <w:rPr>
          <w:rFonts w:ascii="Times New Roman" w:hAnsi="Times New Roman"/>
          <w:b w:val="0"/>
          <w:i w:val="1"/>
          <w:color w:val="000000"/>
          <w:sz w:val="27"/>
        </w:rPr>
        <w:t xml:space="preserve">Рисунок </w:t>
      </w:r>
      <w:r>
        <w:rPr>
          <w:rFonts w:ascii="Times New Roman" w:hAnsi="Times New Roman"/>
          <w:b w:val="0"/>
          <w:i w:val="1"/>
          <w:color w:val="000000"/>
          <w:sz w:val="27"/>
        </w:rPr>
        <w:t>1</w:t>
      </w:r>
      <w:r>
        <w:rPr>
          <w:rFonts w:ascii="Times New Roman" w:hAnsi="Times New Roman"/>
          <w:b w:val="0"/>
          <w:i w:val="1"/>
          <w:color w:val="000000"/>
          <w:sz w:val="27"/>
        </w:rPr>
        <w:t xml:space="preserve">. Общий объем средств бюджетов субъектов Российской Федерации, фактически переданных негосударственным поставщикам на оказание услуг </w:t>
      </w:r>
      <w:r>
        <w:rPr>
          <w:rFonts w:ascii="Times New Roman" w:hAnsi="Times New Roman"/>
          <w:b w:val="0"/>
          <w:i w:val="1"/>
          <w:color w:val="000000"/>
          <w:sz w:val="27"/>
        </w:rPr>
        <w:br/>
      </w:r>
      <w:r>
        <w:rPr>
          <w:rFonts w:ascii="Times New Roman" w:hAnsi="Times New Roman"/>
          <w:b w:val="0"/>
          <w:i w:val="1"/>
          <w:color w:val="000000"/>
          <w:sz w:val="27"/>
        </w:rPr>
        <w:t>по отраслям, 2022 г., %</w:t>
      </w:r>
    </w:p>
    <w:p w14:paraId="E6000000">
      <w:pPr>
        <w:keepNext w:val="1"/>
        <w:ind w:firstLine="709" w:left="0" w:right="-31"/>
      </w:pPr>
      <w:r>
        <w:drawing>
          <wp:inline>
            <wp:extent cx="5276850" cy="3391512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276850" cy="339151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E7000000">
      <w:pPr>
        <w:pStyle w:val="Style_9"/>
        <w:ind/>
        <w:jc w:val="left"/>
        <w:rPr>
          <w:rFonts w:ascii="Times New Roman" w:hAnsi="Times New Roman"/>
          <w:b w:val="1"/>
          <w:i w:val="1"/>
          <w:sz w:val="28"/>
          <w:u w:val="single"/>
        </w:rPr>
      </w:pPr>
    </w:p>
    <w:p w14:paraId="E8000000">
      <w:pPr>
        <w:widowControl w:val="0"/>
        <w:spacing w:after="0" w:line="36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целом, с 2018 года произошел существенный рост количества негосударственных поставщиков, предоставляющих услуги в социальной сфере населению за счет средств бюджетов субъектов Российской Федерации (темп прироста значений показателей 2022 г. к 2018 г. составил + 51%), а также рост объема средств, передаваемых их бюджетов субъектов Российской Федерации на оказание услуг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в социальной сфере негосударственным поставщикам (темп прироста значений показателей 2022 г. к 2018 г. составил + 110 %). </w:t>
      </w:r>
    </w:p>
    <w:p w14:paraId="E9000000">
      <w:pPr>
        <w:widowControl w:val="0"/>
        <w:spacing w:after="0" w:line="36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Более подробная информация представлена в докладе о реализации мер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по обеспечению поэтапного доступа негосударственных организаций, осуществляющих деятельность в социальной сфере, к бюджетным средствам, выделяемым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на предоставление социальных услуг населению, за 2022 г., подготовленном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в соответствии с пунктом 66 Комплекса мер по обеспечению поэтапного доступа негосударственных организаций, осуществляющих деятельность в социальной сфере,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к бюджетным средствам, выделяемым на предоставление социальных услуг населению,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на 2021 – 2024 гг., утвержденного поручением Правительства Российской Федерации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от 11 декабря 2020 г. № 11826п-П44. </w:t>
      </w:r>
    </w:p>
    <w:p w14:paraId="EA000000">
      <w:pPr>
        <w:spacing w:line="360" w:lineRule="auto"/>
        <w:ind w:firstLine="709" w:left="0"/>
        <w:jc w:val="both"/>
        <w:rPr>
          <w:rFonts w:ascii="Times New Roman" w:hAnsi="Times New Roman"/>
          <w:b w:val="1"/>
          <w:sz w:val="27"/>
        </w:rPr>
      </w:pPr>
    </w:p>
    <w:p w14:paraId="EB000000">
      <w:pPr>
        <w:widowControl w:val="0"/>
        <w:spacing w:after="0" w:line="36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EC000000">
      <w:pPr>
        <w:pStyle w:val="Style_2"/>
        <w:numPr>
          <w:ilvl w:val="0"/>
          <w:numId w:val="2"/>
        </w:numPr>
        <w:spacing w:after="360" w:before="360"/>
        <w:ind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 xml:space="preserve">Информация о развитии благотворительной деятельности в Российской Федерации в </w:t>
      </w:r>
      <w:r>
        <w:rPr>
          <w:b w:val="1"/>
          <w:sz w:val="28"/>
        </w:rPr>
        <w:t>2022 году</w:t>
      </w:r>
    </w:p>
    <w:p w14:paraId="ED000000">
      <w:pPr>
        <w:pStyle w:val="Style_2"/>
        <w:spacing w:after="0" w:line="360" w:lineRule="auto"/>
        <w:ind w:firstLine="851" w:left="0"/>
        <w:jc w:val="both"/>
        <w:outlineLvl w:val="0"/>
        <w:rPr>
          <w:sz w:val="28"/>
        </w:rPr>
      </w:pPr>
      <w:r>
        <w:rPr>
          <w:sz w:val="28"/>
        </w:rPr>
        <w:t>В</w:t>
      </w:r>
      <w:r>
        <w:rPr>
          <w:sz w:val="28"/>
        </w:rPr>
        <w:t>о исполнение</w:t>
      </w:r>
      <w:r>
        <w:rPr>
          <w:sz w:val="28"/>
        </w:rPr>
        <w:t xml:space="preserve"> пункта 14</w:t>
      </w:r>
      <w:r>
        <w:rPr>
          <w:sz w:val="28"/>
        </w:rPr>
        <w:t xml:space="preserve"> </w:t>
      </w:r>
      <w:r>
        <w:rPr>
          <w:sz w:val="28"/>
        </w:rPr>
        <w:t xml:space="preserve">Плана мероприятий по реализации в 2021 – </w:t>
      </w:r>
      <w:r>
        <w:rPr>
          <w:sz w:val="28"/>
        </w:rPr>
        <w:br/>
      </w:r>
      <w:r>
        <w:rPr>
          <w:sz w:val="28"/>
        </w:rPr>
        <w:t>2022 годах Концепции содействия развитию благотворительной деятельности</w:t>
      </w:r>
      <w:r>
        <w:rPr>
          <w:sz w:val="28"/>
        </w:rPr>
        <w:br/>
      </w:r>
      <w:r>
        <w:rPr>
          <w:sz w:val="28"/>
        </w:rPr>
        <w:t>в Российской Федерации на период до 2025 года, утвержденного Правительством Российской Федерации 13 июля 2021 г. № 7393п-П44 (далее – План)</w:t>
      </w:r>
      <w:r>
        <w:rPr>
          <w:sz w:val="28"/>
        </w:rPr>
        <w:t>,</w:t>
      </w:r>
      <w:r>
        <w:rPr>
          <w:sz w:val="28"/>
        </w:rPr>
        <w:t xml:space="preserve"> Минэкономразвития России совместно с Институтом развития интернета в 2022 году проведена информационная компания по содействию благотворительной деятельности «Делись добром безопасно», разъясняющая важность благотворительности в решении социальных вопросов и представляющая наиболее известные благотворительные онлайн-платформы. </w:t>
      </w:r>
      <w:r>
        <w:rPr>
          <w:sz w:val="28"/>
        </w:rPr>
        <w:t xml:space="preserve">Так, </w:t>
      </w:r>
      <w:r>
        <w:rPr>
          <w:sz w:val="28"/>
        </w:rPr>
        <w:t>33 млн пользователей увидели рекламу, 66 тыс. пользователей перешли на страницу кампании.</w:t>
      </w:r>
    </w:p>
    <w:p w14:paraId="EE000000">
      <w:pPr>
        <w:pStyle w:val="Style_2"/>
        <w:spacing w:after="0" w:line="360" w:lineRule="auto"/>
        <w:ind w:firstLine="851" w:left="0"/>
        <w:jc w:val="both"/>
        <w:outlineLvl w:val="0"/>
        <w:rPr>
          <w:sz w:val="28"/>
        </w:rPr>
      </w:pPr>
      <w:r>
        <w:rPr>
          <w:sz w:val="28"/>
        </w:rPr>
        <w:t>В рамках исполнения пункта 15 Плана проведен мониторинг реализации мер по развитию инфраструктуры поддержки благотворительности в субъектах Российской Федерации (далее – мониторинг) и подготовлен аналитический отчет</w:t>
      </w:r>
      <w:r>
        <w:rPr>
          <w:sz w:val="28"/>
        </w:rPr>
        <w:t xml:space="preserve"> (размещен на официальном портале Минэкономразвития России по поддержке СОНКО по адресу: nko.economy.gov.ru)</w:t>
      </w:r>
      <w:r>
        <w:rPr>
          <w:sz w:val="28"/>
        </w:rPr>
        <w:t xml:space="preserve">. Мониторинг проводился по результатам реализации положений Стандарта поддержки благотворительности в субъектах Российской Федерации (далее – Стандарт), разработанного Минэкономразвития России во исполнение пункта 15 Плана </w:t>
      </w:r>
      <w:r>
        <w:rPr>
          <w:sz w:val="28"/>
        </w:rPr>
        <w:t>в 2021 году.</w:t>
      </w:r>
    </w:p>
    <w:p w14:paraId="EF000000">
      <w:pPr>
        <w:pStyle w:val="Style_2"/>
        <w:spacing w:after="0" w:line="360" w:lineRule="auto"/>
        <w:ind w:firstLine="851" w:left="0"/>
        <w:jc w:val="both"/>
        <w:outlineLvl w:val="0"/>
        <w:rPr>
          <w:sz w:val="28"/>
        </w:rPr>
      </w:pPr>
      <w:r>
        <w:rPr>
          <w:sz w:val="28"/>
        </w:rPr>
        <w:t>По результатам мониторинга в</w:t>
      </w:r>
      <w:r>
        <w:rPr>
          <w:sz w:val="28"/>
        </w:rPr>
        <w:t>ыявлены</w:t>
      </w:r>
      <w:r>
        <w:rPr>
          <w:sz w:val="28"/>
        </w:rPr>
        <w:t xml:space="preserve"> </w:t>
      </w:r>
      <w:r>
        <w:rPr>
          <w:sz w:val="28"/>
        </w:rPr>
        <w:t>наиболее распространенные мероприятия</w:t>
      </w:r>
      <w:r>
        <w:rPr>
          <w:sz w:val="28"/>
        </w:rPr>
        <w:t>, реализованны</w:t>
      </w:r>
      <w:r>
        <w:rPr>
          <w:sz w:val="28"/>
        </w:rPr>
        <w:t>е в субъектах Российской Федерации</w:t>
      </w:r>
      <w:r>
        <w:rPr>
          <w:rStyle w:val="Style_4_ch"/>
          <w:sz w:val="28"/>
        </w:rPr>
        <w:footnoteReference w:id="6"/>
      </w:r>
      <w:r>
        <w:rPr>
          <w:sz w:val="28"/>
        </w:rPr>
        <w:t xml:space="preserve"> в рамках Стандарта </w:t>
      </w:r>
      <w:r>
        <w:rPr>
          <w:sz w:val="28"/>
        </w:rPr>
        <w:t>в 2022 году:</w:t>
      </w:r>
      <w:r>
        <w:rPr>
          <w:sz w:val="28"/>
        </w:rPr>
        <w:t xml:space="preserve"> </w:t>
      </w:r>
    </w:p>
    <w:p w14:paraId="F0000000">
      <w:pPr>
        <w:pStyle w:val="Style_2"/>
        <w:spacing w:after="0" w:line="360" w:lineRule="auto"/>
        <w:ind w:firstLine="851" w:left="0"/>
        <w:jc w:val="both"/>
        <w:outlineLvl w:val="0"/>
        <w:rPr>
          <w:sz w:val="28"/>
        </w:rPr>
      </w:pPr>
      <w:r>
        <w:rPr>
          <w:sz w:val="28"/>
        </w:rPr>
        <w:t xml:space="preserve">мероприятия по </w:t>
      </w:r>
      <w:r>
        <w:rPr>
          <w:sz w:val="28"/>
        </w:rPr>
        <w:t>информационн</w:t>
      </w:r>
      <w:r>
        <w:rPr>
          <w:sz w:val="28"/>
        </w:rPr>
        <w:t>ой</w:t>
      </w:r>
      <w:r>
        <w:rPr>
          <w:sz w:val="28"/>
        </w:rPr>
        <w:t xml:space="preserve"> поддерж</w:t>
      </w:r>
      <w:r>
        <w:rPr>
          <w:sz w:val="28"/>
        </w:rPr>
        <w:t>ке</w:t>
      </w:r>
      <w:r>
        <w:rPr>
          <w:sz w:val="28"/>
        </w:rPr>
        <w:t xml:space="preserve"> НКО, осуществляющих благотворительную деятельность (разъяснительная работа с гражданами, </w:t>
      </w:r>
      <w:r>
        <w:rPr>
          <w:sz w:val="28"/>
        </w:rPr>
        <w:t xml:space="preserve">юридическими лицами и НКО по вопросам благотворительности, в том числе публикация материалов на </w:t>
      </w:r>
      <w:r>
        <w:rPr>
          <w:sz w:val="28"/>
        </w:rPr>
        <w:t>Интернет-ресурсах</w:t>
      </w:r>
      <w:r>
        <w:rPr>
          <w:sz w:val="28"/>
        </w:rPr>
        <w:t xml:space="preserve"> по поддержке СОНКО, добровольчества и благотворительности</w:t>
      </w:r>
      <w:r>
        <w:rPr>
          <w:sz w:val="28"/>
        </w:rPr>
        <w:t>, проведение информационных кампаний по противодействию мошенничества в благотворительности</w:t>
      </w:r>
      <w:r>
        <w:rPr>
          <w:sz w:val="28"/>
        </w:rPr>
        <w:t>);</w:t>
      </w:r>
    </w:p>
    <w:p w14:paraId="F1000000">
      <w:pPr>
        <w:pStyle w:val="Style_2"/>
        <w:spacing w:after="0" w:line="360" w:lineRule="auto"/>
        <w:ind w:firstLine="851" w:left="0"/>
        <w:jc w:val="both"/>
        <w:outlineLvl w:val="0"/>
        <w:rPr>
          <w:sz w:val="28"/>
        </w:rPr>
      </w:pPr>
      <w:r>
        <w:rPr>
          <w:sz w:val="28"/>
        </w:rPr>
        <w:t xml:space="preserve">мероприятия по </w:t>
      </w:r>
      <w:r>
        <w:rPr>
          <w:sz w:val="28"/>
        </w:rPr>
        <w:t>образовательн</w:t>
      </w:r>
      <w:r>
        <w:rPr>
          <w:sz w:val="28"/>
        </w:rPr>
        <w:t>ой</w:t>
      </w:r>
      <w:r>
        <w:rPr>
          <w:sz w:val="28"/>
        </w:rPr>
        <w:t xml:space="preserve"> и</w:t>
      </w:r>
      <w:r>
        <w:rPr>
          <w:sz w:val="28"/>
        </w:rPr>
        <w:t xml:space="preserve"> </w:t>
      </w:r>
      <w:r>
        <w:rPr>
          <w:sz w:val="28"/>
        </w:rPr>
        <w:t>консультационно-методическ</w:t>
      </w:r>
      <w:r>
        <w:rPr>
          <w:sz w:val="28"/>
        </w:rPr>
        <w:t>ой</w:t>
      </w:r>
      <w:r>
        <w:rPr>
          <w:sz w:val="28"/>
        </w:rPr>
        <w:t xml:space="preserve"> </w:t>
      </w:r>
      <w:r>
        <w:rPr>
          <w:sz w:val="28"/>
        </w:rPr>
        <w:t>поддержке</w:t>
      </w:r>
      <w:r>
        <w:rPr>
          <w:sz w:val="28"/>
        </w:rPr>
        <w:t xml:space="preserve"> (курсы повышения квалификации, конференции, </w:t>
      </w:r>
      <w:r>
        <w:rPr>
          <w:sz w:val="28"/>
        </w:rPr>
        <w:t>вебинары</w:t>
      </w:r>
      <w:r>
        <w:rPr>
          <w:sz w:val="28"/>
        </w:rPr>
        <w:t xml:space="preserve"> по вопросам благотворительности для сотрудников НКО и государственных служащих</w:t>
      </w:r>
      <w:r>
        <w:rPr>
          <w:sz w:val="28"/>
        </w:rPr>
        <w:t xml:space="preserve"> и др.</w:t>
      </w:r>
      <w:r>
        <w:rPr>
          <w:sz w:val="28"/>
        </w:rPr>
        <w:t>);</w:t>
      </w:r>
    </w:p>
    <w:p w14:paraId="F2000000">
      <w:pPr>
        <w:pStyle w:val="Style_2"/>
        <w:spacing w:after="0" w:line="360" w:lineRule="auto"/>
        <w:ind w:firstLine="851" w:left="0"/>
        <w:jc w:val="both"/>
        <w:outlineLvl w:val="0"/>
        <w:rPr>
          <w:sz w:val="28"/>
        </w:rPr>
      </w:pPr>
      <w:r>
        <w:rPr>
          <w:sz w:val="28"/>
        </w:rPr>
        <w:t>меры</w:t>
      </w:r>
      <w:r>
        <w:rPr>
          <w:sz w:val="28"/>
        </w:rPr>
        <w:t>, направленные на поощрение участников</w:t>
      </w:r>
      <w:r>
        <w:rPr>
          <w:sz w:val="28"/>
        </w:rPr>
        <w:t xml:space="preserve"> благотворительной деятельности (</w:t>
      </w:r>
      <w:r>
        <w:rPr>
          <w:sz w:val="28"/>
        </w:rPr>
        <w:t>награждение грамотами, благодарственными письмами добровольцев и благотворителей, присуждение знаков отличия за вклад в развитие и поддержку благотворительной деятельности в субъекте Российской Федерации и др.</w:t>
      </w:r>
      <w:r>
        <w:rPr>
          <w:sz w:val="28"/>
        </w:rPr>
        <w:t>)</w:t>
      </w:r>
      <w:r>
        <w:rPr>
          <w:sz w:val="28"/>
        </w:rPr>
        <w:t>.</w:t>
      </w:r>
    </w:p>
    <w:p w14:paraId="F3000000">
      <w:pPr>
        <w:pStyle w:val="Style_2"/>
        <w:spacing w:after="0" w:line="360" w:lineRule="auto"/>
        <w:ind w:firstLine="851" w:left="0"/>
        <w:jc w:val="both"/>
        <w:outlineLvl w:val="0"/>
        <w:rPr>
          <w:sz w:val="28"/>
        </w:rPr>
      </w:pPr>
      <w:r>
        <w:rPr>
          <w:sz w:val="28"/>
        </w:rPr>
        <w:t xml:space="preserve">Также, по результатам мониторинга выявлено, что в 28 субъектах Российской Федерации определен орган исполнительной власти, ответственный за содействие развитию благотворительной деятельности, в 18 субъектах Российской Федерации определен совещательный (координационный) орган по вопросам содействия развитию благотворительной деятельности. Наличие законодательства (нормативно-правовой акт), регулирующего благотворительную деятельность, отмечают </w:t>
      </w:r>
      <w:r>
        <w:rPr>
          <w:sz w:val="28"/>
        </w:rPr>
        <w:br/>
      </w:r>
      <w:r>
        <w:rPr>
          <w:sz w:val="28"/>
        </w:rPr>
        <w:t xml:space="preserve">23 субъекта Российской Федерации, стратегического документа, определяющего основные направления развития благотворительной деятельности – 10 субъектов Российской Федерации. </w:t>
      </w:r>
    </w:p>
    <w:p w14:paraId="F4000000">
      <w:pPr>
        <w:pStyle w:val="Style_2"/>
        <w:spacing w:after="0" w:line="360" w:lineRule="auto"/>
        <w:ind w:firstLine="851" w:left="0"/>
        <w:jc w:val="both"/>
        <w:outlineLvl w:val="0"/>
        <w:rPr>
          <w:sz w:val="28"/>
        </w:rPr>
      </w:pPr>
      <w:r>
        <w:rPr>
          <w:sz w:val="28"/>
        </w:rPr>
        <w:t>Одной из ф</w:t>
      </w:r>
      <w:r>
        <w:rPr>
          <w:sz w:val="28"/>
        </w:rPr>
        <w:t xml:space="preserve">орм стимулирования благотворительных пожертвований среди граждан и организаций является предоставление налоговых преференций. </w:t>
      </w:r>
    </w:p>
    <w:p w14:paraId="F5000000">
      <w:pPr>
        <w:pStyle w:val="Style_2"/>
        <w:spacing w:after="0" w:line="360" w:lineRule="auto"/>
        <w:ind w:firstLine="851" w:left="0"/>
        <w:jc w:val="both"/>
        <w:outlineLvl w:val="0"/>
        <w:rPr>
          <w:sz w:val="28"/>
        </w:rPr>
      </w:pPr>
      <w:r>
        <w:rPr>
          <w:sz w:val="28"/>
        </w:rPr>
        <w:t xml:space="preserve">Так, в отношении физических лиц существует возможность получения социального налогового вычета на благотворительность. </w:t>
      </w:r>
    </w:p>
    <w:p w14:paraId="F6000000">
      <w:pPr>
        <w:pStyle w:val="Style_2"/>
        <w:spacing w:after="0" w:line="360" w:lineRule="auto"/>
        <w:ind w:firstLine="851" w:left="0"/>
        <w:jc w:val="both"/>
        <w:outlineLvl w:val="0"/>
        <w:rPr>
          <w:sz w:val="28"/>
        </w:rPr>
      </w:pPr>
      <w:r>
        <w:rPr>
          <w:sz w:val="28"/>
        </w:rPr>
        <w:t>По данным ФНС России по итогам 2021 года 13 618 россиян (2020 г. – 11 290) показали в своих налоговых декларациях благотворительные пожертвования, общая сумма предоставленных вычетов в 2021 году составила -  9 442 878 тыс. руб</w:t>
      </w:r>
      <w:r>
        <w:rPr>
          <w:sz w:val="28"/>
        </w:rPr>
        <w:t>.</w:t>
      </w:r>
      <w:r>
        <w:rPr>
          <w:sz w:val="28"/>
        </w:rPr>
        <w:t xml:space="preserve"> (2020 г. – 5 441 996 тыс. руб.).</w:t>
      </w:r>
    </w:p>
    <w:p w14:paraId="F7000000">
      <w:pPr>
        <w:pStyle w:val="Style_2"/>
        <w:spacing w:after="0" w:line="360" w:lineRule="auto"/>
        <w:ind w:firstLine="709" w:left="0"/>
        <w:jc w:val="both"/>
        <w:outlineLvl w:val="0"/>
        <w:rPr>
          <w:sz w:val="28"/>
        </w:rPr>
      </w:pPr>
      <w:r>
        <w:rPr>
          <w:sz w:val="28"/>
        </w:rPr>
        <w:t>В части ю</w:t>
      </w:r>
      <w:r>
        <w:rPr>
          <w:sz w:val="28"/>
        </w:rPr>
        <w:t>ридических лиц в соответствии с подпунктом 19.6 пункта 1 статьи 265 Налогового кодекса Российской Федерации</w:t>
      </w:r>
      <w:r>
        <w:rPr>
          <w:sz w:val="28"/>
        </w:rPr>
        <w:t xml:space="preserve"> (далее – Налоговый кодекс)</w:t>
      </w:r>
      <w:r>
        <w:rPr>
          <w:sz w:val="28"/>
        </w:rPr>
        <w:t xml:space="preserve"> </w:t>
      </w:r>
      <w:r>
        <w:rPr>
          <w:sz w:val="28"/>
        </w:rPr>
        <w:t>налогоплательщики налога на прибыль организаций вправе признать расходы в виде стоимости имущества (включая денежные средства), безвозмездно переданного определенным категориям НКО</w:t>
      </w:r>
      <w:r>
        <w:rPr>
          <w:rStyle w:val="Style_4_ch"/>
          <w:sz w:val="28"/>
        </w:rPr>
        <w:footnoteReference w:id="7"/>
      </w:r>
      <w:r>
        <w:rPr>
          <w:sz w:val="28"/>
        </w:rPr>
        <w:t xml:space="preserve">, в качестве внереализационных расходов, что позволяет юридическим лицам сократить налогооблагаемую базу на величину пожертвования в денежном выражении. </w:t>
      </w:r>
    </w:p>
    <w:p w14:paraId="F8000000">
      <w:pPr>
        <w:pStyle w:val="Style_2"/>
        <w:spacing w:after="0" w:line="360" w:lineRule="auto"/>
        <w:ind w:firstLine="709" w:left="0"/>
        <w:jc w:val="both"/>
        <w:outlineLvl w:val="0"/>
        <w:rPr>
          <w:color w:themeColor="text1" w:val="000000"/>
          <w:sz w:val="28"/>
        </w:rPr>
      </w:pPr>
      <w:r>
        <w:rPr>
          <w:sz w:val="28"/>
        </w:rPr>
        <w:t xml:space="preserve">По итогам 2022 года указанной налоговой преференцией воспользовались 139 налогоплательщиков налога на </w:t>
      </w:r>
      <w:r>
        <w:rPr>
          <w:color w:themeColor="text1" w:val="000000"/>
          <w:sz w:val="28"/>
        </w:rPr>
        <w:t>прибыль организаций, осуществив безвозмездную передачу имущества на общую сумму 42 500 492 тыс. рублей</w:t>
      </w:r>
      <w:r>
        <w:rPr>
          <w:rStyle w:val="Style_4_ch"/>
          <w:color w:themeColor="text1" w:val="000000"/>
          <w:sz w:val="28"/>
        </w:rPr>
        <w:footnoteReference w:id="8"/>
      </w:r>
      <w:r>
        <w:rPr>
          <w:color w:themeColor="text1" w:val="000000"/>
          <w:sz w:val="28"/>
        </w:rPr>
        <w:t>.</w:t>
      </w:r>
    </w:p>
    <w:p w14:paraId="F9000000">
      <w:pPr>
        <w:pStyle w:val="Style_2"/>
        <w:spacing w:after="0" w:line="360" w:lineRule="auto"/>
        <w:ind w:firstLine="709" w:left="0"/>
        <w:jc w:val="both"/>
        <w:outlineLvl w:val="0"/>
        <w:rPr>
          <w:sz w:val="28"/>
        </w:rPr>
      </w:pPr>
      <w:r>
        <w:rPr>
          <w:sz w:val="28"/>
        </w:rPr>
        <w:t>В целях эффективной реализации права организаций воспользоваться налоговой преференцией, установленной подпунктом 19.6 пункта 1 статьи 265 Налогового кодекса, Минэкономразвития России были подготовлены информационные материалы для юридических лиц – благотворителей, осуществляющих благотворительные пожертвования в адрес СОНКО. Указанные информационные материалы направлены в субъекты Российской Федерации письмом от 2 февраля 2022 г. № 3174-ТИ/Д04и.</w:t>
      </w:r>
    </w:p>
    <w:p w14:paraId="FA000000">
      <w:pPr>
        <w:pStyle w:val="Style_2"/>
        <w:numPr>
          <w:ilvl w:val="0"/>
          <w:numId w:val="2"/>
        </w:numPr>
        <w:spacing w:after="360" w:before="360"/>
        <w:ind w:hanging="357" w:left="714"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 xml:space="preserve">Результаты развития сектора </w:t>
      </w:r>
      <w:r>
        <w:rPr>
          <w:b w:val="1"/>
          <w:sz w:val="28"/>
        </w:rPr>
        <w:t>СОНКО</w:t>
      </w:r>
    </w:p>
    <w:p w14:paraId="FB000000">
      <w:pPr>
        <w:pStyle w:val="Style_2"/>
        <w:spacing w:after="0"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По данным Росстата, в </w:t>
      </w:r>
      <w:r>
        <w:rPr>
          <w:sz w:val="28"/>
        </w:rPr>
        <w:t>202</w:t>
      </w:r>
      <w:r>
        <w:rPr>
          <w:sz w:val="28"/>
        </w:rPr>
        <w:t>2</w:t>
      </w:r>
      <w:r>
        <w:rPr>
          <w:sz w:val="28"/>
        </w:rPr>
        <w:t xml:space="preserve"> г. в Российской Федерации действовало </w:t>
      </w:r>
      <w:r>
        <w:rPr>
          <w:sz w:val="28"/>
        </w:rPr>
        <w:br/>
      </w:r>
      <w:r>
        <w:rPr>
          <w:sz w:val="28"/>
        </w:rPr>
        <w:t>129</w:t>
      </w:r>
      <w:r>
        <w:rPr>
          <w:sz w:val="28"/>
        </w:rPr>
        <w:t> </w:t>
      </w:r>
      <w:r>
        <w:rPr>
          <w:sz w:val="28"/>
        </w:rPr>
        <w:t>939</w:t>
      </w:r>
      <w:r>
        <w:rPr>
          <w:sz w:val="28"/>
        </w:rPr>
        <w:t xml:space="preserve"> </w:t>
      </w:r>
      <w:r>
        <w:rPr>
          <w:sz w:val="28"/>
        </w:rPr>
        <w:t>СОНКО (в 2021 г. – 127 632 СОНКО)</w:t>
      </w:r>
      <w:r>
        <w:rPr>
          <w:sz w:val="28"/>
        </w:rPr>
        <w:t>.</w:t>
      </w:r>
    </w:p>
    <w:p w14:paraId="FC000000">
      <w:pPr>
        <w:pStyle w:val="Style_2"/>
        <w:spacing w:after="0" w:line="36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Средняя численность работников, занятых в одной СОНКО (чел.)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является ст</w:t>
      </w:r>
      <w:r>
        <w:rPr>
          <w:color w:val="000000"/>
          <w:sz w:val="28"/>
        </w:rPr>
        <w:t>абильной на протяжении 2011-2022</w:t>
      </w:r>
      <w:r>
        <w:rPr>
          <w:color w:val="000000"/>
          <w:sz w:val="28"/>
        </w:rPr>
        <w:t xml:space="preserve"> гг. и составляет от 4 до 7 человек.</w:t>
      </w:r>
    </w:p>
    <w:p w14:paraId="FD000000">
      <w:pPr>
        <w:pStyle w:val="Style_2"/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С 2016</w:t>
      </w:r>
      <w:r>
        <w:rPr>
          <w:sz w:val="28"/>
        </w:rPr>
        <w:t xml:space="preserve"> г.</w:t>
      </w:r>
      <w:r>
        <w:rPr>
          <w:sz w:val="28"/>
        </w:rPr>
        <w:t xml:space="preserve"> по 2019 г.</w:t>
      </w:r>
      <w:r>
        <w:rPr>
          <w:sz w:val="28"/>
        </w:rPr>
        <w:t xml:space="preserve"> происходил устойчивый рост средне</w:t>
      </w:r>
      <w:r>
        <w:rPr>
          <w:sz w:val="28"/>
        </w:rPr>
        <w:t>списочной</w:t>
      </w:r>
      <w:r>
        <w:rPr>
          <w:sz w:val="28"/>
        </w:rPr>
        <w:t xml:space="preserve"> численности добровольцев, участвующих в деятельности СОНКО. В 2016 г. </w:t>
      </w:r>
      <w:r>
        <w:rPr>
          <w:sz w:val="28"/>
        </w:rPr>
        <w:t>их было более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2 155 тыс. человек, в 2017 г. – 2 731 тыс. человек, в 2</w:t>
      </w:r>
      <w:r>
        <w:rPr>
          <w:sz w:val="28"/>
        </w:rPr>
        <w:t xml:space="preserve">018 г. – 2 937,3 тыс. человек, </w:t>
      </w:r>
      <w:r>
        <w:rPr>
          <w:sz w:val="28"/>
        </w:rPr>
        <w:br/>
      </w:r>
      <w:r>
        <w:rPr>
          <w:sz w:val="28"/>
        </w:rPr>
        <w:t>в 2019 г. – 4 056,7 тыс. человек</w:t>
      </w:r>
      <w:r>
        <w:rPr>
          <w:sz w:val="28"/>
        </w:rPr>
        <w:t>. При этом в 2020 г. значение данное показателя уменьшилось и составило 3 429,1 тыс. человек</w:t>
      </w:r>
      <w:r>
        <w:rPr>
          <w:sz w:val="28"/>
        </w:rPr>
        <w:t xml:space="preserve">. </w:t>
      </w:r>
      <w:r>
        <w:rPr>
          <w:sz w:val="28"/>
        </w:rPr>
        <w:t xml:space="preserve"> </w:t>
      </w:r>
      <w:r>
        <w:rPr>
          <w:sz w:val="28"/>
        </w:rPr>
        <w:t xml:space="preserve">Однако </w:t>
      </w:r>
      <w:r>
        <w:rPr>
          <w:sz w:val="28"/>
        </w:rPr>
        <w:t>в</w:t>
      </w:r>
      <w:r>
        <w:rPr>
          <w:sz w:val="28"/>
        </w:rPr>
        <w:t xml:space="preserve"> 20</w:t>
      </w:r>
      <w:r>
        <w:rPr>
          <w:sz w:val="28"/>
        </w:rPr>
        <w:t>21</w:t>
      </w:r>
      <w:r>
        <w:rPr>
          <w:sz w:val="28"/>
        </w:rPr>
        <w:t xml:space="preserve"> – 2022 гг.</w:t>
      </w:r>
      <w:r>
        <w:rPr>
          <w:sz w:val="28"/>
        </w:rPr>
        <w:t xml:space="preserve"> </w:t>
      </w:r>
      <w:r>
        <w:rPr>
          <w:sz w:val="28"/>
        </w:rPr>
        <w:t xml:space="preserve">среднесписочная численность добровольцев (волонтёров), участвующих </w:t>
      </w:r>
      <w:r>
        <w:rPr>
          <w:sz w:val="28"/>
        </w:rPr>
        <w:br/>
      </w:r>
      <w:r>
        <w:rPr>
          <w:sz w:val="28"/>
        </w:rPr>
        <w:t>в</w:t>
      </w:r>
      <w:r>
        <w:rPr>
          <w:sz w:val="28"/>
        </w:rPr>
        <w:t xml:space="preserve"> деятельности СОНКО, </w:t>
      </w:r>
      <w:r>
        <w:rPr>
          <w:sz w:val="28"/>
        </w:rPr>
        <w:t>снова увеличилась</w:t>
      </w:r>
      <w:r>
        <w:rPr>
          <w:sz w:val="28"/>
        </w:rPr>
        <w:t xml:space="preserve"> и </w:t>
      </w:r>
      <w:r>
        <w:rPr>
          <w:sz w:val="28"/>
        </w:rPr>
        <w:t xml:space="preserve">составила </w:t>
      </w:r>
      <w:r>
        <w:rPr>
          <w:color w:val="000000"/>
          <w:sz w:val="28"/>
        </w:rPr>
        <w:t xml:space="preserve">3 767 769 </w:t>
      </w:r>
      <w:r>
        <w:rPr>
          <w:color w:val="000000"/>
          <w:sz w:val="28"/>
        </w:rPr>
        <w:t>тыс. человек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в 2021 г.</w:t>
      </w:r>
      <w:r>
        <w:rPr>
          <w:rStyle w:val="Style_4_ch"/>
          <w:color w:val="000000"/>
          <w:sz w:val="28"/>
        </w:rPr>
        <w:footnoteReference w:id="9"/>
      </w:r>
      <w:r>
        <w:rPr>
          <w:color w:val="000000"/>
          <w:sz w:val="28"/>
        </w:rPr>
        <w:t>, 3 927 748 тыс. человек в 2022 году</w:t>
      </w:r>
      <w:r>
        <w:rPr>
          <w:sz w:val="28"/>
        </w:rPr>
        <w:t>.</w:t>
      </w:r>
    </w:p>
    <w:p w14:paraId="FE000000">
      <w:pPr>
        <w:pStyle w:val="Style_2"/>
        <w:ind w:firstLine="0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4</w:t>
      </w:r>
      <w:r>
        <w:rPr>
          <w:sz w:val="28"/>
        </w:rPr>
        <w:t xml:space="preserve">. Численность участников </w:t>
      </w:r>
      <w:r>
        <w:rPr>
          <w:sz w:val="28"/>
        </w:rPr>
        <w:t>деятельности СОНКО в 2021-2022</w:t>
      </w:r>
      <w:r>
        <w:rPr>
          <w:sz w:val="28"/>
        </w:rPr>
        <w:t xml:space="preserve"> годах </w:t>
      </w:r>
      <w:r>
        <w:rPr>
          <w:sz w:val="28"/>
        </w:rPr>
        <w:br/>
      </w:r>
      <w:r>
        <w:rPr>
          <w:sz w:val="28"/>
        </w:rPr>
        <w:t>(тыс. человек)</w:t>
      </w:r>
    </w:p>
    <w:tbl>
      <w:tblPr>
        <w:tblStyle w:val="Style_5"/>
        <w:tblInd w:type="dxa" w:w="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84"/>
        <w:gridCol w:w="1872"/>
        <w:gridCol w:w="1701"/>
        <w:gridCol w:w="2551"/>
      </w:tblGrid>
      <w:tr>
        <w:trPr>
          <w:trHeight w:hRule="atLeast" w:val="683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Показатель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spacing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2021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г.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*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spacing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2022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г.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spacing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2022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г. к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2021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г., в %</w:t>
            </w:r>
          </w:p>
        </w:tc>
      </w:tr>
      <w:tr>
        <w:trPr>
          <w:trHeight w:hRule="atLeast" w:val="3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Среднесписочная численность штатных работников (за исключением внешних совместителей)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370, 1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373, 3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00,9</w:t>
            </w:r>
          </w:p>
        </w:tc>
      </w:tr>
      <w:tr>
        <w:trPr>
          <w:trHeight w:hRule="atLeast" w:val="3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</w:t>
            </w:r>
            <w:r>
              <w:rPr>
                <w:rFonts w:ascii="Times New Roman" w:hAnsi="Times New Roman"/>
                <w:color w:val="000000"/>
                <w:sz w:val="24"/>
              </w:rPr>
              <w:t>есписочная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численность добровольцев</w:t>
            </w:r>
          </w:p>
          <w:p w14:paraId="0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767</w:t>
            </w:r>
            <w:r>
              <w:rPr>
                <w:rFonts w:ascii="Times New Roman" w:hAnsi="Times New Roman"/>
                <w:color w:val="000000"/>
                <w:sz w:val="24"/>
              </w:rPr>
              <w:t>, 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3 927, 7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104,3</w:t>
            </w:r>
          </w:p>
        </w:tc>
      </w:tr>
      <w:tr>
        <w:trPr>
          <w:trHeight w:hRule="atLeast" w:val="300"/>
        </w:trPr>
        <w:tc>
          <w:tcPr>
            <w:tcW w:type="dxa" w:w="3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Средняя численность внештатных работников (привлечённых по договорам гражданско-правового характера)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109, 9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113, 8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 w:right="6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103,6</w:t>
            </w:r>
          </w:p>
        </w:tc>
      </w:tr>
    </w:tbl>
    <w:p w14:paraId="10010000">
      <w:pPr>
        <w:pStyle w:val="Style_2"/>
        <w:spacing w:after="0" w:line="360" w:lineRule="auto"/>
        <w:ind w:firstLine="0" w:left="0"/>
        <w:jc w:val="both"/>
        <w:rPr>
          <w:sz w:val="28"/>
        </w:rPr>
      </w:pPr>
      <w:r>
        <w:rPr>
          <w:sz w:val="28"/>
        </w:rPr>
        <w:t xml:space="preserve"> </w:t>
      </w:r>
    </w:p>
    <w:p w14:paraId="11010000">
      <w:pPr>
        <w:pStyle w:val="Style_2"/>
        <w:spacing w:after="0"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Также, в 2022 году Минэкономразвития России разработана методика, </w:t>
      </w:r>
      <w:r>
        <w:rPr>
          <w:sz w:val="28"/>
        </w:rPr>
        <w:br/>
      </w:r>
      <w:r>
        <w:rPr>
          <w:sz w:val="28"/>
        </w:rPr>
        <w:t xml:space="preserve">с помощью которой впервые проведена оценка вклада НКО по отдельным отраслям, регионам, (определен вклад НКО, находящихся в реестре СОНКО), благотворительности и волонтерства в экономику.   </w:t>
      </w:r>
    </w:p>
    <w:p w14:paraId="12010000">
      <w:pPr>
        <w:pStyle w:val="Style_2"/>
        <w:spacing w:after="0"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По результатам исследования вклад НКО в ВВП в 2021 году составил 1,46%, </w:t>
      </w:r>
      <w:r>
        <w:rPr>
          <w:sz w:val="28"/>
        </w:rPr>
        <w:br/>
      </w:r>
      <w:r>
        <w:rPr>
          <w:sz w:val="28"/>
        </w:rPr>
        <w:t>(в том числе вклад СОНКО, находящихся в реестре Минэкономразвития, составил 0,59%). Вклад благотворительности в экономику составил 0,6%, волонтерства - 0,4%.</w:t>
      </w:r>
    </w:p>
    <w:p w14:paraId="13010000">
      <w:pPr>
        <w:pStyle w:val="Style_2"/>
        <w:spacing w:after="0" w:line="360" w:lineRule="auto"/>
        <w:ind w:firstLine="708" w:left="0"/>
        <w:jc w:val="both"/>
        <w:rPr>
          <w:sz w:val="28"/>
        </w:rPr>
      </w:pPr>
      <w:r>
        <w:rPr>
          <w:sz w:val="28"/>
        </w:rPr>
        <w:t>Учитывая</w:t>
      </w:r>
      <w:r>
        <w:rPr>
          <w:sz w:val="28"/>
        </w:rPr>
        <w:t xml:space="preserve">, что исследование по разработанной методике проводилось впервые, </w:t>
      </w:r>
      <w:r>
        <w:rPr>
          <w:sz w:val="28"/>
        </w:rPr>
        <w:t>анализ динамики</w:t>
      </w:r>
      <w:r>
        <w:rPr>
          <w:sz w:val="28"/>
        </w:rPr>
        <w:t xml:space="preserve"> влияния некоммерческого сектора на экономику</w:t>
      </w:r>
      <w:r>
        <w:rPr>
          <w:sz w:val="28"/>
        </w:rPr>
        <w:t xml:space="preserve"> будет</w:t>
      </w:r>
      <w:r>
        <w:rPr>
          <w:sz w:val="28"/>
        </w:rPr>
        <w:t xml:space="preserve"> проводиться Минэкономразвития России по мере накопления данных.</w:t>
      </w:r>
    </w:p>
    <w:sectPr>
      <w:headerReference r:id="rId1" w:type="default"/>
      <w:pgSz w:h="16838" w:orient="portrait" w:w="11906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14010000">
      <w:pPr>
        <w:spacing w:after="0"/>
        <w:ind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Сводная информация о финансировании</w:t>
      </w:r>
      <w:r>
        <w:rPr>
          <w:rFonts w:ascii="Times New Roman" w:hAnsi="Times New Roman"/>
          <w:sz w:val="20"/>
        </w:rPr>
        <w:t xml:space="preserve"> программ поддержки СОНКО в 2022 г</w:t>
      </w:r>
      <w:r>
        <w:rPr>
          <w:rFonts w:ascii="Times New Roman" w:hAnsi="Times New Roman"/>
          <w:sz w:val="20"/>
        </w:rPr>
        <w:t>. подготовлена</w:t>
      </w:r>
      <w:r>
        <w:rPr>
          <w:rFonts w:ascii="Times New Roman" w:hAnsi="Times New Roman"/>
          <w:sz w:val="20"/>
        </w:rPr>
        <w:t xml:space="preserve"> на основе данных, полученных из подсистемы информационно-аналитического обеспечения ГИИС «Электронный бюджет»</w:t>
      </w:r>
    </w:p>
  </w:footnote>
  <w:footnote w:id="2">
    <w:p w14:paraId="15010000">
      <w:pPr>
        <w:pStyle w:val="Style_29"/>
        <w:ind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В соответствии с Протоколами заседания Координационного комитета по проведению конкурсов на предоставление грантов Президента Российской Федерации на развитие гражданского общества </w:t>
      </w:r>
      <w:r>
        <w:rPr>
          <w:rFonts w:ascii="Times New Roman" w:hAnsi="Times New Roman"/>
        </w:rPr>
        <w:t>от 13 января 2022 г. № 1,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от 10 июня 2022 г. № 2, от 29 сентября 2022 г. № 4.</w:t>
      </w:r>
    </w:p>
  </w:footnote>
  <w:footnote w:id="3">
    <w:p w14:paraId="16010000">
      <w:pPr>
        <w:pStyle w:val="Style_29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Предусматривающие финансирование мероприятий по поддержке СОНКО</w:t>
      </w:r>
    </w:p>
  </w:footnote>
  <w:footnote w:id="4">
    <w:p w14:paraId="17010000">
      <w:pPr>
        <w:pStyle w:val="Style_29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 w:val="1"/>
        </w:rPr>
        <w:t xml:space="preserve">Учитывались средства, переданные </w:t>
      </w:r>
      <w:r>
        <w:rPr>
          <w:rFonts w:ascii="Times New Roman" w:hAnsi="Times New Roman"/>
          <w:i w:val="1"/>
        </w:rPr>
        <w:t>СОНКО</w:t>
      </w:r>
      <w:r>
        <w:rPr>
          <w:rFonts w:ascii="Times New Roman" w:hAnsi="Times New Roman"/>
          <w:i w:val="1"/>
        </w:rPr>
        <w:t>, социальным предприятиям и субъектам малого и среднего предпринимательства, не имеющим статус социального предприятия</w:t>
      </w:r>
    </w:p>
    <w:p w14:paraId="18010000">
      <w:pPr>
        <w:pStyle w:val="Style_29"/>
      </w:pPr>
    </w:p>
  </w:footnote>
  <w:footnote w:id="5">
    <w:p w14:paraId="19010000">
      <w:pPr>
        <w:pStyle w:val="Style_29"/>
        <w:ind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1"/>
        </w:rPr>
        <w:t>В отношении</w:t>
      </w:r>
      <w:r>
        <w:rPr>
          <w:rFonts w:ascii="Times New Roman" w:hAnsi="Times New Roman"/>
          <w:i w:val="1"/>
        </w:rPr>
        <w:t xml:space="preserve"> оценочного числа людей</w:t>
      </w:r>
      <w:r>
        <w:rPr>
          <w:rFonts w:ascii="Times New Roman" w:hAnsi="Times New Roman"/>
          <w:i w:val="1"/>
        </w:rPr>
        <w:t>, получивших услуги негосударственных поставщиков</w:t>
      </w:r>
      <w:r>
        <w:rPr>
          <w:rFonts w:ascii="Times New Roman" w:hAnsi="Times New Roman"/>
          <w:i w:val="1"/>
        </w:rPr>
        <w:t xml:space="preserve">, важно отметить, что существуют услуги, предполагающие ограниченное количество получателей (например, паллиативная помощь - адресная услуга, востребованная ограниченным числом людей), а также услуги, </w:t>
      </w:r>
      <w:r>
        <w:rPr>
          <w:rFonts w:ascii="Times New Roman" w:hAnsi="Times New Roman"/>
          <w:i w:val="1"/>
        </w:rPr>
        <w:t xml:space="preserve">для которых </w:t>
      </w:r>
      <w:r>
        <w:rPr>
          <w:rFonts w:ascii="Times New Roman" w:hAnsi="Times New Roman"/>
          <w:i w:val="1"/>
        </w:rPr>
        <w:t>оценить точное количество конечных получателей</w:t>
      </w:r>
      <w:r>
        <w:rPr>
          <w:rFonts w:ascii="Times New Roman" w:hAnsi="Times New Roman"/>
          <w:i w:val="1"/>
        </w:rPr>
        <w:t xml:space="preserve"> затруднительно </w:t>
      </w:r>
      <w:r>
        <w:rPr>
          <w:rFonts w:ascii="Times New Roman" w:hAnsi="Times New Roman"/>
          <w:i w:val="1"/>
        </w:rPr>
        <w:t xml:space="preserve">в виду массового охвата населения (например, просветительские мероприятия). </w:t>
      </w:r>
      <w:r>
        <w:rPr>
          <w:rFonts w:ascii="Times New Roman" w:hAnsi="Times New Roman"/>
          <w:i w:val="1"/>
        </w:rPr>
        <w:t>Также</w:t>
      </w:r>
      <w:r>
        <w:rPr>
          <w:rFonts w:ascii="Times New Roman" w:hAnsi="Times New Roman"/>
          <w:i w:val="1"/>
        </w:rPr>
        <w:t xml:space="preserve">, следует учитывать, что один человек может быть получателем нескольких услуг. </w:t>
      </w:r>
      <w:r>
        <w:rPr>
          <w:rFonts w:ascii="Times New Roman" w:hAnsi="Times New Roman"/>
          <w:i w:val="1"/>
        </w:rPr>
        <w:t>Ч</w:t>
      </w:r>
      <w:r>
        <w:rPr>
          <w:rFonts w:ascii="Times New Roman" w:hAnsi="Times New Roman"/>
          <w:i w:val="1"/>
        </w:rPr>
        <w:t>исло получ</w:t>
      </w:r>
      <w:r>
        <w:rPr>
          <w:rFonts w:ascii="Times New Roman" w:hAnsi="Times New Roman"/>
          <w:i w:val="1"/>
        </w:rPr>
        <w:t>ателей услуг негосударственных поставщиков услуг в 2022 г. рассчитывалось путем сложения количества людей, которые стали получателями соответствующей услуги у конкретной организации, отдельно по каждой отрасли социальной сферы, исходя из данных, предоставленных субъектами Российской Федерации.</w:t>
      </w:r>
    </w:p>
    <w:p w14:paraId="1A010000">
      <w:pPr>
        <w:pStyle w:val="Style_29"/>
      </w:pPr>
    </w:p>
  </w:footnote>
  <w:footnote w:id="6">
    <w:p w14:paraId="1B010000">
      <w:pPr>
        <w:pStyle w:val="Style_29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На основе сведений, предоставленных 46 субъектами Российской Федерации</w:t>
      </w:r>
    </w:p>
  </w:footnote>
  <w:footnote w:id="7">
    <w:p w14:paraId="1C010000">
      <w:pPr>
        <w:pStyle w:val="Style_29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СОНКО, включенны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в реестр СОНКО, сформированный в соответствии с постановлением Правительства Российской Федерации от 30 июля 2021 г. № 1290 «О реестре социально ориентированных некоммерческих организаций»; </w:t>
      </w:r>
    </w:p>
    <w:p w14:paraId="1D010000">
      <w:pPr>
        <w:pStyle w:val="Style_29"/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централизованны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религиозны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организаци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, религиозны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организаци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, входящи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в структуру централизованных религиозных организаций, СОНКО, учредителями которых являются централизованные религиозные организации или религиозные организации, входящие в структуру централизованных религиозных организаций;</w:t>
      </w:r>
    </w:p>
    <w:p w14:paraId="1E010000">
      <w:pPr>
        <w:pStyle w:val="Style_29"/>
      </w:pPr>
      <w:r>
        <w:rPr>
          <w:rFonts w:ascii="Times New Roman" w:hAnsi="Times New Roman"/>
        </w:rPr>
        <w:t>3. иные некоммерческие организации, включенные</w:t>
      </w:r>
      <w:r>
        <w:rPr>
          <w:rFonts w:ascii="Times New Roman" w:hAnsi="Times New Roman"/>
        </w:rPr>
        <w:t xml:space="preserve"> в реестр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</w:t>
      </w:r>
      <w:r>
        <w:rPr>
          <w:rFonts w:ascii="Times New Roman" w:hAnsi="Times New Roman"/>
        </w:rPr>
        <w:t>.</w:t>
      </w:r>
    </w:p>
    <w:p w14:paraId="1F010000">
      <w:pPr>
        <w:pStyle w:val="Style_29"/>
      </w:pPr>
    </w:p>
  </w:footnote>
  <w:footnote w:id="8">
    <w:p w14:paraId="20010000">
      <w:pPr>
        <w:pStyle w:val="Style_29"/>
      </w:pPr>
      <w:r>
        <w:rPr>
          <w:vertAlign w:val="superscript"/>
        </w:rPr>
        <w:footnoteRef/>
      </w:r>
      <w:r>
        <w:rPr>
          <w:rFonts w:ascii="Times New Roman" w:hAnsi="Times New Roman"/>
        </w:rPr>
        <w:t>По итогам 2021 г. 166</w:t>
      </w:r>
      <w:r>
        <w:rPr>
          <w:rFonts w:ascii="Times New Roman" w:hAnsi="Times New Roman"/>
        </w:rPr>
        <w:t xml:space="preserve"> налогоплательщиков налога на прибы</w:t>
      </w:r>
      <w:r>
        <w:rPr>
          <w:rFonts w:ascii="Times New Roman" w:hAnsi="Times New Roman"/>
        </w:rPr>
        <w:t>ль организаций на общую сумму 26 082 570</w:t>
      </w:r>
      <w:r>
        <w:rPr>
          <w:rFonts w:ascii="Times New Roman" w:hAnsi="Times New Roman"/>
        </w:rPr>
        <w:t xml:space="preserve"> тыс. руб.</w:t>
      </w:r>
    </w:p>
    <w:p w14:paraId="21010000">
      <w:pPr>
        <w:pStyle w:val="Style_29"/>
      </w:pPr>
    </w:p>
  </w:footnote>
  <w:footnote w:id="9">
    <w:p w14:paraId="22010000">
      <w:pPr>
        <w:pStyle w:val="Style_29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В соответствии с официальной статистической информацией о деятельности СОНКО, предоставленной Росстатом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 2022 году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644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6"/>
      <w:numFmt w:val="decimal"/>
      <w:lvlText w:val="%1.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3."/>
      <w:lvlJc w:val="right"/>
      <w:pPr>
        <w:ind w:hanging="180" w:left="2084"/>
      </w:pPr>
    </w:lvl>
    <w:lvl w:ilvl="3">
      <w:start w:val="1"/>
      <w:numFmt w:val="decimal"/>
      <w:lvlText w:val="%4."/>
      <w:lvlJc w:val="left"/>
      <w:pPr>
        <w:ind w:hanging="360" w:left="2804"/>
      </w:pPr>
    </w:lvl>
    <w:lvl w:ilvl="4">
      <w:start w:val="1"/>
      <w:numFmt w:val="lowerLetter"/>
      <w:lvlText w:val="%5."/>
      <w:lvlJc w:val="left"/>
      <w:pPr>
        <w:ind w:hanging="360" w:left="3524"/>
      </w:pPr>
    </w:lvl>
    <w:lvl w:ilvl="5">
      <w:start w:val="1"/>
      <w:numFmt w:val="lowerRoman"/>
      <w:lvlText w:val="%6."/>
      <w:lvlJc w:val="right"/>
      <w:pPr>
        <w:ind w:hanging="180" w:left="4244"/>
      </w:pPr>
    </w:lvl>
    <w:lvl w:ilvl="6">
      <w:start w:val="1"/>
      <w:numFmt w:val="decimal"/>
      <w:lvlText w:val="%7."/>
      <w:lvlJc w:val="left"/>
      <w:pPr>
        <w:ind w:hanging="360" w:left="4964"/>
      </w:pPr>
    </w:lvl>
    <w:lvl w:ilvl="7">
      <w:start w:val="1"/>
      <w:numFmt w:val="lowerLetter"/>
      <w:lvlText w:val="%8."/>
      <w:lvlJc w:val="left"/>
      <w:pPr>
        <w:ind w:hanging="360" w:left="5684"/>
      </w:pPr>
    </w:lvl>
    <w:lvl w:ilvl="8">
      <w:start w:val="1"/>
      <w:numFmt w:val="lowerRoman"/>
      <w:lvlText w:val="%9."/>
      <w:lvlJc w:val="right"/>
      <w:pPr>
        <w:ind w:hanging="180" w:left="640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rFonts w:ascii="Calibri" w:hAnsi="Calibri"/>
    </w:rPr>
  </w:style>
  <w:style w:default="1" w:styleId="Style_10_ch" w:type="character">
    <w:name w:val="Normal"/>
    <w:link w:val="Style_10"/>
    <w:rPr>
      <w:rFonts w:ascii="Calibri" w:hAnsi="Calibri"/>
    </w:rPr>
  </w:style>
  <w:style w:styleId="Style_11" w:type="paragraph">
    <w:name w:val="footer"/>
    <w:basedOn w:val="Style_10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10_ch"/>
    <w:link w:val="Style_11"/>
  </w:style>
  <w:style w:styleId="Style_12" w:type="paragraph">
    <w:name w:val="toc 2"/>
    <w:basedOn w:val="Style_10"/>
    <w:next w:val="Style_10"/>
    <w:link w:val="Style_12_ch"/>
    <w:uiPriority w:val="39"/>
    <w:pPr>
      <w:spacing w:after="100"/>
      <w:ind w:firstLine="0" w:left="220"/>
    </w:pPr>
    <w:rPr>
      <w:rFonts w:asciiTheme="minorAscii" w:hAnsiTheme="minorHAnsi"/>
    </w:rPr>
  </w:style>
  <w:style w:styleId="Style_12_ch" w:type="character">
    <w:name w:val="toc 2"/>
    <w:basedOn w:val="Style_10_ch"/>
    <w:link w:val="Style_12"/>
    <w:rPr>
      <w:rFonts w:asciiTheme="minorAscii" w:hAnsiTheme="minorHAnsi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annotation reference"/>
    <w:basedOn w:val="Style_13"/>
    <w:link w:val="Style_14_ch"/>
    <w:rPr>
      <w:sz w:val="16"/>
    </w:rPr>
  </w:style>
  <w:style w:styleId="Style_14_ch" w:type="character">
    <w:name w:val="annotation reference"/>
    <w:basedOn w:val="Style_13_ch"/>
    <w:link w:val="Style_14"/>
    <w:rPr>
      <w:sz w:val="16"/>
    </w:rPr>
  </w:style>
  <w:style w:styleId="Style_15" w:type="paragraph">
    <w:name w:val="toc 4"/>
    <w:next w:val="Style_10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10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0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Body Text 2"/>
    <w:basedOn w:val="Style_10"/>
    <w:link w:val="Style_18_ch"/>
    <w:pPr>
      <w:spacing w:after="120" w:line="480" w:lineRule="auto"/>
      <w:ind/>
    </w:pPr>
    <w:rPr>
      <w:rFonts w:ascii="Times New Roman" w:hAnsi="Times New Roman"/>
      <w:sz w:val="24"/>
    </w:rPr>
  </w:style>
  <w:style w:styleId="Style_18_ch" w:type="character">
    <w:name w:val="Body Text 2"/>
    <w:basedOn w:val="Style_10_ch"/>
    <w:link w:val="Style_18"/>
    <w:rPr>
      <w:rFonts w:ascii="Times New Roman" w:hAnsi="Times New Roman"/>
      <w:sz w:val="24"/>
    </w:rPr>
  </w:style>
  <w:style w:styleId="Style_19" w:type="paragraph">
    <w:name w:val="heading 3"/>
    <w:next w:val="Style_10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" w:type="paragraph">
    <w:name w:val="Body Text Indent"/>
    <w:basedOn w:val="Style_10"/>
    <w:link w:val="Style_2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2_ch" w:type="character">
    <w:name w:val="Body Text Indent"/>
    <w:basedOn w:val="Style_10_ch"/>
    <w:link w:val="Style_2"/>
    <w:rPr>
      <w:rFonts w:ascii="Times New Roman" w:hAnsi="Times New Roman"/>
      <w:sz w:val="24"/>
    </w:rPr>
  </w:style>
  <w:style w:styleId="Style_20" w:type="paragraph">
    <w:name w:val="annotation subject"/>
    <w:basedOn w:val="Style_21"/>
    <w:next w:val="Style_21"/>
    <w:link w:val="Style_20_ch"/>
    <w:rPr>
      <w:b w:val="1"/>
    </w:rPr>
  </w:style>
  <w:style w:styleId="Style_20_ch" w:type="character">
    <w:name w:val="annotation subject"/>
    <w:basedOn w:val="Style_21_ch"/>
    <w:link w:val="Style_20"/>
    <w:rPr>
      <w:b w:val="1"/>
    </w:rPr>
  </w:style>
  <w:style w:styleId="Style_22" w:type="paragraph">
    <w:link w:val="Style_22_ch"/>
    <w:semiHidden w:val="1"/>
    <w:unhideWhenUsed w:val="1"/>
    <w:pPr>
      <w:spacing w:after="0" w:line="240" w:lineRule="auto"/>
      <w:ind/>
    </w:pPr>
    <w:rPr>
      <w:rFonts w:ascii="Calibri" w:hAnsi="Calibri"/>
    </w:rPr>
  </w:style>
  <w:style w:styleId="Style_22_ch" w:type="character">
    <w:link w:val="Style_22"/>
    <w:semiHidden w:val="1"/>
    <w:unhideWhenUsed w:val="1"/>
    <w:rPr>
      <w:rFonts w:ascii="Calibri" w:hAnsi="Calibri"/>
    </w:rPr>
  </w:style>
  <w:style w:styleId="Style_23" w:type="paragraph">
    <w:name w:val="Strong"/>
    <w:basedOn w:val="Style_13"/>
    <w:link w:val="Style_23_ch"/>
    <w:rPr>
      <w:b w:val="1"/>
    </w:rPr>
  </w:style>
  <w:style w:styleId="Style_23_ch" w:type="character">
    <w:name w:val="Strong"/>
    <w:basedOn w:val="Style_13_ch"/>
    <w:link w:val="Style_23"/>
    <w:rPr>
      <w:b w:val="1"/>
    </w:rPr>
  </w:style>
  <w:style w:styleId="Style_24" w:type="paragraph">
    <w:name w:val="Основной текст2"/>
    <w:basedOn w:val="Style_10"/>
    <w:link w:val="Style_24_ch"/>
    <w:pPr>
      <w:widowControl w:val="0"/>
      <w:spacing w:after="0" w:line="355" w:lineRule="exact"/>
      <w:ind w:hanging="440" w:left="440"/>
      <w:jc w:val="both"/>
    </w:pPr>
    <w:rPr>
      <w:rFonts w:asciiTheme="minorAscii" w:hAnsiTheme="minorHAnsi"/>
      <w:spacing w:val="-1"/>
      <w:sz w:val="25"/>
    </w:rPr>
  </w:style>
  <w:style w:styleId="Style_24_ch" w:type="character">
    <w:name w:val="Основной текст2"/>
    <w:basedOn w:val="Style_10_ch"/>
    <w:link w:val="Style_24"/>
    <w:rPr>
      <w:rFonts w:asciiTheme="minorAscii" w:hAnsiTheme="minorHAnsi"/>
      <w:spacing w:val="-1"/>
      <w:sz w:val="25"/>
    </w:rPr>
  </w:style>
  <w:style w:styleId="Style_25" w:type="paragraph">
    <w:name w:val="toc 3"/>
    <w:basedOn w:val="Style_10"/>
    <w:next w:val="Style_10"/>
    <w:link w:val="Style_25_ch"/>
    <w:uiPriority w:val="39"/>
    <w:pPr>
      <w:spacing w:after="100"/>
      <w:ind w:firstLine="0" w:left="440"/>
    </w:pPr>
    <w:rPr>
      <w:rFonts w:asciiTheme="minorAscii" w:hAnsiTheme="minorHAnsi"/>
    </w:rPr>
  </w:style>
  <w:style w:styleId="Style_25_ch" w:type="character">
    <w:name w:val="toc 3"/>
    <w:basedOn w:val="Style_10_ch"/>
    <w:link w:val="Style_25"/>
    <w:rPr>
      <w:rFonts w:asciiTheme="minorAscii" w:hAnsiTheme="minorHAnsi"/>
    </w:rPr>
  </w:style>
  <w:style w:styleId="Style_8" w:type="paragraph">
    <w:name w:val="caption"/>
    <w:basedOn w:val="Style_10"/>
    <w:next w:val="Style_10"/>
    <w:link w:val="Style_8_ch"/>
    <w:pPr>
      <w:spacing w:after="0" w:line="240" w:lineRule="auto"/>
      <w:ind/>
    </w:pPr>
    <w:rPr>
      <w:rFonts w:asciiTheme="minorAscii" w:hAnsiTheme="minorHAnsi"/>
      <w:b w:val="1"/>
      <w:color w:themeColor="accent1" w:val="4F81BD"/>
      <w:sz w:val="18"/>
    </w:rPr>
  </w:style>
  <w:style w:styleId="Style_8_ch" w:type="character">
    <w:name w:val="caption"/>
    <w:basedOn w:val="Style_10_ch"/>
    <w:link w:val="Style_8"/>
    <w:rPr>
      <w:rFonts w:asciiTheme="minorAscii" w:hAnsiTheme="minorHAnsi"/>
      <w:b w:val="1"/>
      <w:color w:themeColor="accent1" w:val="4F81BD"/>
      <w:sz w:val="18"/>
    </w:rPr>
  </w:style>
  <w:style w:styleId="Style_26" w:type="paragraph">
    <w:name w:val="heading 5"/>
    <w:next w:val="Style_10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1" w:type="paragraph">
    <w:name w:val="annotation text"/>
    <w:basedOn w:val="Style_10"/>
    <w:link w:val="Style_21_ch"/>
    <w:pPr>
      <w:spacing w:line="240" w:lineRule="auto"/>
      <w:ind/>
    </w:pPr>
    <w:rPr>
      <w:sz w:val="20"/>
    </w:rPr>
  </w:style>
  <w:style w:styleId="Style_21_ch" w:type="character">
    <w:name w:val="annotation text"/>
    <w:basedOn w:val="Style_10_ch"/>
    <w:link w:val="Style_21"/>
    <w:rPr>
      <w:sz w:val="20"/>
    </w:rPr>
  </w:style>
  <w:style w:styleId="Style_27" w:type="paragraph">
    <w:name w:val="Заголовок №2"/>
    <w:basedOn w:val="Style_10"/>
    <w:link w:val="Style_27_ch"/>
    <w:pPr>
      <w:widowControl w:val="0"/>
      <w:spacing w:after="0" w:before="900" w:line="346" w:lineRule="exact"/>
      <w:ind/>
      <w:outlineLvl w:val="1"/>
    </w:pPr>
    <w:rPr>
      <w:rFonts w:ascii="Times New Roman" w:hAnsi="Times New Roman"/>
      <w:b w:val="1"/>
      <w:sz w:val="30"/>
    </w:rPr>
  </w:style>
  <w:style w:styleId="Style_27_ch" w:type="character">
    <w:name w:val="Заголовок №2"/>
    <w:basedOn w:val="Style_10_ch"/>
    <w:link w:val="Style_27"/>
    <w:rPr>
      <w:rFonts w:ascii="Times New Roman" w:hAnsi="Times New Roman"/>
      <w:b w:val="1"/>
      <w:sz w:val="30"/>
    </w:rPr>
  </w:style>
  <w:style w:styleId="Style_7" w:type="paragraph">
    <w:name w:val="heading 1"/>
    <w:basedOn w:val="Style_10"/>
    <w:next w:val="Style_10"/>
    <w:link w:val="Style_7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7_ch" w:type="character">
    <w:name w:val="heading 1"/>
    <w:basedOn w:val="Style_10_ch"/>
    <w:link w:val="Style_7"/>
    <w:rPr>
      <w:rFonts w:asciiTheme="majorAscii" w:hAnsiTheme="majorHAnsi"/>
      <w:b w:val="1"/>
      <w:color w:themeColor="accent1" w:themeShade="BF" w:val="376092"/>
      <w:sz w:val="28"/>
    </w:rPr>
  </w:style>
  <w:style w:styleId="Style_28" w:type="paragraph">
    <w:name w:val="Hyperlink"/>
    <w:basedOn w:val="Style_13"/>
    <w:link w:val="Style_28_ch"/>
    <w:rPr>
      <w:color w:val="0000FF"/>
      <w:u w:val="single"/>
    </w:rPr>
  </w:style>
  <w:style w:styleId="Style_28_ch" w:type="character">
    <w:name w:val="Hyperlink"/>
    <w:basedOn w:val="Style_13_ch"/>
    <w:link w:val="Style_28"/>
    <w:rPr>
      <w:color w:val="0000FF"/>
      <w:u w:val="single"/>
    </w:rPr>
  </w:style>
  <w:style w:styleId="Style_29" w:type="paragraph">
    <w:name w:val="Footnote"/>
    <w:basedOn w:val="Style_10"/>
    <w:link w:val="Style_29_ch"/>
    <w:pPr>
      <w:spacing w:after="0" w:line="240" w:lineRule="auto"/>
      <w:ind/>
    </w:pPr>
    <w:rPr>
      <w:sz w:val="20"/>
    </w:rPr>
  </w:style>
  <w:style w:styleId="Style_29_ch" w:type="character">
    <w:name w:val="Footnote"/>
    <w:basedOn w:val="Style_10_ch"/>
    <w:link w:val="Style_29"/>
    <w:rPr>
      <w:sz w:val="20"/>
    </w:rPr>
  </w:style>
  <w:style w:styleId="Style_3" w:type="paragraph">
    <w:name w:val="Normal (Web)"/>
    <w:basedOn w:val="Style_10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10_ch"/>
    <w:link w:val="Style_3"/>
    <w:rPr>
      <w:rFonts w:ascii="Times New Roman" w:hAnsi="Times New Roman"/>
      <w:sz w:val="24"/>
    </w:rPr>
  </w:style>
  <w:style w:styleId="Style_30" w:type="paragraph">
    <w:name w:val="toc 1"/>
    <w:next w:val="Style_10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Balloon Text"/>
    <w:basedOn w:val="Style_10"/>
    <w:link w:val="Style_32_ch"/>
    <w:pPr>
      <w:spacing w:after="0" w:line="240" w:lineRule="auto"/>
      <w:ind/>
    </w:pPr>
    <w:rPr>
      <w:rFonts w:ascii="Tahoma" w:hAnsi="Tahoma"/>
      <w:sz w:val="16"/>
    </w:rPr>
  </w:style>
  <w:style w:styleId="Style_32_ch" w:type="character">
    <w:name w:val="Balloon Text"/>
    <w:basedOn w:val="Style_10_ch"/>
    <w:link w:val="Style_32"/>
    <w:rPr>
      <w:rFonts w:ascii="Tahoma" w:hAnsi="Tahoma"/>
      <w:sz w:val="16"/>
    </w:rPr>
  </w:style>
  <w:style w:styleId="Style_33" w:type="paragraph">
    <w:name w:val="endnote text"/>
    <w:basedOn w:val="Style_10"/>
    <w:link w:val="Style_33_ch"/>
    <w:pPr>
      <w:spacing w:after="0" w:line="240" w:lineRule="auto"/>
      <w:ind/>
    </w:pPr>
    <w:rPr>
      <w:sz w:val="20"/>
    </w:rPr>
  </w:style>
  <w:style w:styleId="Style_33_ch" w:type="character">
    <w:name w:val="endnote text"/>
    <w:basedOn w:val="Style_10_ch"/>
    <w:link w:val="Style_33"/>
    <w:rPr>
      <w:sz w:val="20"/>
    </w:rPr>
  </w:style>
  <w:style w:styleId="Style_34" w:type="paragraph">
    <w:name w:val="toc 9"/>
    <w:next w:val="Style_10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Heading"/>
    <w:basedOn w:val="Style_7"/>
    <w:next w:val="Style_10"/>
    <w:link w:val="Style_35_ch"/>
    <w:pPr>
      <w:ind/>
      <w:outlineLvl w:val="8"/>
    </w:pPr>
  </w:style>
  <w:style w:styleId="Style_35_ch" w:type="character">
    <w:name w:val="TOC Heading"/>
    <w:basedOn w:val="Style_7_ch"/>
    <w:link w:val="Style_35"/>
  </w:style>
  <w:style w:styleId="Style_36" w:type="paragraph">
    <w:name w:val="Default"/>
    <w:link w:val="Style_36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6_ch" w:type="character">
    <w:name w:val="Default"/>
    <w:link w:val="Style_36"/>
    <w:rPr>
      <w:rFonts w:ascii="Times New Roman" w:hAnsi="Times New Roman"/>
      <w:color w:val="000000"/>
      <w:sz w:val="24"/>
    </w:rPr>
  </w:style>
  <w:style w:styleId="Style_37" w:type="paragraph">
    <w:name w:val="toc 8"/>
    <w:next w:val="Style_10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Char Char"/>
    <w:basedOn w:val="Style_10"/>
    <w:link w:val="Style_38_ch"/>
    <w:pPr>
      <w:spacing w:after="0" w:line="360" w:lineRule="auto"/>
      <w:ind w:firstLine="709" w:left="0"/>
      <w:jc w:val="both"/>
    </w:pPr>
    <w:rPr>
      <w:rFonts w:ascii="Times New Roman" w:hAnsi="Times New Roman"/>
      <w:sz w:val="26"/>
    </w:rPr>
  </w:style>
  <w:style w:styleId="Style_38_ch" w:type="character">
    <w:name w:val="Char Char"/>
    <w:basedOn w:val="Style_10_ch"/>
    <w:link w:val="Style_38"/>
    <w:rPr>
      <w:rFonts w:ascii="Times New Roman" w:hAnsi="Times New Roman"/>
      <w:sz w:val="26"/>
    </w:rPr>
  </w:style>
  <w:style w:styleId="Style_39" w:type="paragraph">
    <w:name w:val="toc 5"/>
    <w:next w:val="Style_10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" w:type="paragraph">
    <w:name w:val="footnote reference"/>
    <w:link w:val="Style_4_ch"/>
    <w:rPr>
      <w:rFonts w:ascii="Times New Roman" w:hAnsi="Times New Roman"/>
      <w:vertAlign w:val="superscript"/>
    </w:rPr>
  </w:style>
  <w:style w:styleId="Style_4_ch" w:type="character">
    <w:name w:val="footnote reference"/>
    <w:link w:val="Style_4"/>
    <w:rPr>
      <w:rFonts w:ascii="Times New Roman" w:hAnsi="Times New Roman"/>
      <w:vertAlign w:val="superscript"/>
    </w:rPr>
  </w:style>
  <w:style w:styleId="Style_9" w:type="paragraph">
    <w:name w:val="Subtitle"/>
    <w:basedOn w:val="Style_10"/>
    <w:next w:val="Style_10"/>
    <w:link w:val="Style_9_ch"/>
    <w:uiPriority w:val="11"/>
    <w:qFormat/>
    <w:pPr>
      <w:spacing w:after="60" w:line="240" w:lineRule="auto"/>
      <w:ind/>
      <w:jc w:val="center"/>
      <w:outlineLvl w:val="1"/>
    </w:pPr>
    <w:rPr>
      <w:rFonts w:asciiTheme="majorAscii" w:hAnsiTheme="majorHAnsi"/>
      <w:sz w:val="24"/>
    </w:rPr>
  </w:style>
  <w:style w:styleId="Style_9_ch" w:type="character">
    <w:name w:val="Subtitle"/>
    <w:basedOn w:val="Style_10_ch"/>
    <w:link w:val="Style_9"/>
    <w:rPr>
      <w:rFonts w:asciiTheme="majorAscii" w:hAnsiTheme="majorHAnsi"/>
      <w:sz w:val="24"/>
    </w:rPr>
  </w:style>
  <w:style w:styleId="Style_40" w:type="paragraph">
    <w:name w:val="font_9"/>
    <w:basedOn w:val="Style_10"/>
    <w:link w:val="Style_4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0_ch" w:type="character">
    <w:name w:val="font_9"/>
    <w:basedOn w:val="Style_10_ch"/>
    <w:link w:val="Style_40"/>
    <w:rPr>
      <w:rFonts w:ascii="Times New Roman" w:hAnsi="Times New Roman"/>
      <w:sz w:val="24"/>
    </w:rPr>
  </w:style>
  <w:style w:styleId="Style_41" w:type="paragraph">
    <w:name w:val="ConsPlusNormal"/>
    <w:link w:val="Style_41_ch"/>
    <w:pPr>
      <w:widowControl w:val="0"/>
      <w:spacing w:after="0" w:line="240" w:lineRule="auto"/>
      <w:ind/>
    </w:pPr>
    <w:rPr>
      <w:rFonts w:ascii="Calibri" w:hAnsi="Calibri"/>
    </w:rPr>
  </w:style>
  <w:style w:styleId="Style_41_ch" w:type="character">
    <w:name w:val="ConsPlusNormal"/>
    <w:link w:val="Style_41"/>
    <w:rPr>
      <w:rFonts w:ascii="Calibri" w:hAnsi="Calibri"/>
    </w:rPr>
  </w:style>
  <w:style w:styleId="Style_1" w:type="paragraph">
    <w:name w:val="header"/>
    <w:basedOn w:val="Style_10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10_ch"/>
    <w:link w:val="Style_1"/>
  </w:style>
  <w:style w:styleId="Style_42" w:type="paragraph">
    <w:name w:val="endnote reference"/>
    <w:basedOn w:val="Style_13"/>
    <w:link w:val="Style_42_ch"/>
    <w:rPr>
      <w:vertAlign w:val="superscript"/>
    </w:rPr>
  </w:style>
  <w:style w:styleId="Style_42_ch" w:type="character">
    <w:name w:val="endnote reference"/>
    <w:basedOn w:val="Style_13_ch"/>
    <w:link w:val="Style_42"/>
    <w:rPr>
      <w:vertAlign w:val="superscript"/>
    </w:rPr>
  </w:style>
  <w:style w:styleId="Style_43" w:type="paragraph">
    <w:name w:val="Title"/>
    <w:next w:val="Style_10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next w:val="Style_10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heading 2"/>
    <w:next w:val="Style_10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46" w:type="paragraph">
    <w:name w:val="List Paragraph"/>
    <w:basedOn w:val="Style_10"/>
    <w:link w:val="Style_46_ch"/>
    <w:pPr>
      <w:ind w:firstLine="0" w:left="720"/>
      <w:contextualSpacing w:val="1"/>
    </w:pPr>
  </w:style>
  <w:style w:styleId="Style_46_ch" w:type="character">
    <w:name w:val="List Paragraph"/>
    <w:basedOn w:val="Style_10_ch"/>
    <w:link w:val="Style_46"/>
  </w:style>
  <w:style w:styleId="Style_6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footnotes.xml" Type="http://schemas.openxmlformats.org/officeDocument/2006/relationships/footnotes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2023-11-24T04:15:34Z</dcterms:modified>
</cp:coreProperties>
</file>